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E2DDC" w:rsidRDefault="00C0584F">
      <w:pPr>
        <w:pBdr>
          <w:top w:val="nil"/>
          <w:left w:val="nil"/>
          <w:bottom w:val="nil"/>
          <w:right w:val="nil"/>
          <w:between w:val="nil"/>
        </w:pBdr>
        <w:tabs>
          <w:tab w:val="center" w:pos="4680"/>
          <w:tab w:val="right" w:pos="9360"/>
        </w:tabs>
        <w:rPr>
          <w:color w:val="000000"/>
          <w:sz w:val="24"/>
          <w:szCs w:val="24"/>
        </w:rPr>
      </w:pPr>
      <w:r>
        <w:rPr>
          <w:color w:val="000000"/>
          <w:sz w:val="24"/>
          <w:szCs w:val="24"/>
          <w:u w:val="single"/>
        </w:rPr>
        <w:t>ITEM 753.1</w:t>
      </w:r>
      <w:r>
        <w:rPr>
          <w:color w:val="000000"/>
          <w:sz w:val="24"/>
          <w:szCs w:val="24"/>
        </w:rPr>
        <w:tab/>
      </w:r>
      <w:r>
        <w:rPr>
          <w:color w:val="000000"/>
          <w:sz w:val="24"/>
          <w:szCs w:val="24"/>
          <w:u w:val="single"/>
        </w:rPr>
        <w:t>BIORETENTION SOIL</w:t>
      </w:r>
      <w:r>
        <w:rPr>
          <w:color w:val="000000"/>
          <w:sz w:val="24"/>
          <w:szCs w:val="24"/>
        </w:rPr>
        <w:tab/>
      </w:r>
      <w:r>
        <w:rPr>
          <w:color w:val="000000"/>
          <w:sz w:val="24"/>
          <w:szCs w:val="24"/>
          <w:u w:val="single"/>
        </w:rPr>
        <w:t>CUBIC YARD</w:t>
      </w:r>
    </w:p>
    <w:p w14:paraId="00000002" w14:textId="77777777" w:rsidR="00AE2DDC" w:rsidRDefault="00AE2DDC">
      <w:pPr>
        <w:pBdr>
          <w:top w:val="nil"/>
          <w:left w:val="nil"/>
          <w:bottom w:val="nil"/>
          <w:right w:val="nil"/>
          <w:between w:val="nil"/>
        </w:pBdr>
        <w:jc w:val="both"/>
        <w:rPr>
          <w:color w:val="000000"/>
          <w:sz w:val="24"/>
          <w:szCs w:val="24"/>
          <w:u w:val="single"/>
        </w:rPr>
      </w:pPr>
    </w:p>
    <w:p w14:paraId="00000003" w14:textId="77777777" w:rsidR="00AE2DDC" w:rsidRDefault="00C0584F">
      <w:pPr>
        <w:pBdr>
          <w:top w:val="nil"/>
          <w:left w:val="nil"/>
          <w:bottom w:val="nil"/>
          <w:right w:val="nil"/>
          <w:between w:val="nil"/>
        </w:pBdr>
        <w:jc w:val="both"/>
        <w:rPr>
          <w:color w:val="000000"/>
          <w:sz w:val="24"/>
          <w:szCs w:val="24"/>
        </w:rPr>
      </w:pPr>
      <w:r>
        <w:rPr>
          <w:color w:val="000000"/>
          <w:sz w:val="24"/>
          <w:szCs w:val="24"/>
          <w:u w:val="single"/>
        </w:rPr>
        <w:t>GENERAL</w:t>
      </w:r>
    </w:p>
    <w:p w14:paraId="00000004" w14:textId="77777777" w:rsidR="00AE2DDC" w:rsidRDefault="00AE2DDC">
      <w:pPr>
        <w:pBdr>
          <w:top w:val="nil"/>
          <w:left w:val="nil"/>
          <w:bottom w:val="nil"/>
          <w:right w:val="nil"/>
          <w:between w:val="nil"/>
        </w:pBdr>
        <w:jc w:val="both"/>
        <w:rPr>
          <w:color w:val="000000"/>
          <w:sz w:val="24"/>
          <w:szCs w:val="24"/>
        </w:rPr>
      </w:pPr>
    </w:p>
    <w:p w14:paraId="00000005" w14:textId="77777777" w:rsidR="00AE2DDC" w:rsidRDefault="00C0584F">
      <w:pPr>
        <w:pBdr>
          <w:top w:val="nil"/>
          <w:left w:val="nil"/>
          <w:bottom w:val="nil"/>
          <w:right w:val="nil"/>
          <w:between w:val="nil"/>
        </w:pBdr>
        <w:jc w:val="both"/>
        <w:rPr>
          <w:color w:val="000000"/>
          <w:sz w:val="24"/>
          <w:szCs w:val="24"/>
        </w:rPr>
      </w:pPr>
      <w:r>
        <w:rPr>
          <w:color w:val="000000"/>
          <w:sz w:val="24"/>
          <w:szCs w:val="24"/>
        </w:rPr>
        <w:t>Work under this item shall be in accordance with the relevant provisions of Section 751 of the MassDOT Standard Specifications, Division II, and the following:</w:t>
      </w:r>
    </w:p>
    <w:p w14:paraId="00000006" w14:textId="77777777" w:rsidR="00AE2DDC" w:rsidRDefault="00AE2DDC">
      <w:pPr>
        <w:pBdr>
          <w:top w:val="nil"/>
          <w:left w:val="nil"/>
          <w:bottom w:val="nil"/>
          <w:right w:val="nil"/>
          <w:between w:val="nil"/>
        </w:pBdr>
        <w:rPr>
          <w:color w:val="000000"/>
          <w:sz w:val="24"/>
          <w:szCs w:val="24"/>
        </w:rPr>
      </w:pPr>
    </w:p>
    <w:p w14:paraId="00000007" w14:textId="390F31FC" w:rsidR="00AE2DDC" w:rsidRDefault="00C0584F">
      <w:pPr>
        <w:pBdr>
          <w:top w:val="nil"/>
          <w:left w:val="nil"/>
          <w:bottom w:val="nil"/>
          <w:right w:val="nil"/>
          <w:between w:val="nil"/>
        </w:pBdr>
        <w:jc w:val="both"/>
        <w:rPr>
          <w:color w:val="000000"/>
          <w:sz w:val="24"/>
          <w:szCs w:val="24"/>
        </w:rPr>
      </w:pPr>
      <w:r>
        <w:rPr>
          <w:color w:val="000000"/>
          <w:sz w:val="24"/>
          <w:szCs w:val="24"/>
        </w:rPr>
        <w:t xml:space="preserve">The Contractor shall furnish all material, accessories, labor, and equipment necessary to place bioretention soil for bioretention areas </w:t>
      </w:r>
      <w:proofErr w:type="gramStart"/>
      <w:r>
        <w:rPr>
          <w:color w:val="000000"/>
          <w:sz w:val="24"/>
          <w:szCs w:val="24"/>
        </w:rPr>
        <w:t>where</w:t>
      </w:r>
      <w:proofErr w:type="gramEnd"/>
      <w:r>
        <w:rPr>
          <w:color w:val="000000"/>
          <w:sz w:val="24"/>
          <w:szCs w:val="24"/>
        </w:rPr>
        <w:t xml:space="preserve"> indicated on the </w:t>
      </w:r>
      <w:r w:rsidR="003238AB">
        <w:rPr>
          <w:color w:val="000000"/>
          <w:sz w:val="24"/>
          <w:szCs w:val="24"/>
        </w:rPr>
        <w:t>Plans</w:t>
      </w:r>
      <w:r>
        <w:rPr>
          <w:color w:val="000000"/>
          <w:sz w:val="24"/>
          <w:szCs w:val="24"/>
        </w:rPr>
        <w:t xml:space="preserve">. </w:t>
      </w:r>
    </w:p>
    <w:p w14:paraId="00000008" w14:textId="77777777" w:rsidR="00AE2DDC" w:rsidRDefault="00AE2DDC">
      <w:pPr>
        <w:pBdr>
          <w:top w:val="nil"/>
          <w:left w:val="nil"/>
          <w:bottom w:val="nil"/>
          <w:right w:val="nil"/>
          <w:between w:val="nil"/>
        </w:pBdr>
        <w:jc w:val="both"/>
        <w:rPr>
          <w:color w:val="000000"/>
          <w:sz w:val="24"/>
          <w:szCs w:val="24"/>
        </w:rPr>
      </w:pPr>
    </w:p>
    <w:p w14:paraId="00000009" w14:textId="600E24CD" w:rsidR="00AE2DDC" w:rsidRDefault="00C0584F">
      <w:pPr>
        <w:pBdr>
          <w:top w:val="nil"/>
          <w:left w:val="nil"/>
          <w:bottom w:val="nil"/>
          <w:right w:val="nil"/>
          <w:between w:val="nil"/>
        </w:pBdr>
        <w:jc w:val="both"/>
        <w:rPr>
          <w:color w:val="000000"/>
          <w:sz w:val="24"/>
          <w:szCs w:val="24"/>
        </w:rPr>
      </w:pPr>
      <w:r>
        <w:rPr>
          <w:color w:val="000000"/>
          <w:sz w:val="24"/>
          <w:szCs w:val="24"/>
        </w:rPr>
        <w:t>Work shall include all soil media, aggregate media, soil blending, testing, grading,</w:t>
      </w:r>
      <w:r w:rsidR="00B66CFE">
        <w:rPr>
          <w:color w:val="000000"/>
          <w:sz w:val="24"/>
          <w:szCs w:val="24"/>
        </w:rPr>
        <w:t xml:space="preserve"> and</w:t>
      </w:r>
      <w:r>
        <w:rPr>
          <w:color w:val="000000"/>
          <w:sz w:val="24"/>
          <w:szCs w:val="24"/>
        </w:rPr>
        <w:t xml:space="preserve"> backfill</w:t>
      </w:r>
      <w:r w:rsidR="00B66CFE">
        <w:rPr>
          <w:color w:val="000000"/>
          <w:sz w:val="24"/>
          <w:szCs w:val="24"/>
        </w:rPr>
        <w:t xml:space="preserve"> </w:t>
      </w:r>
      <w:r>
        <w:rPr>
          <w:color w:val="000000"/>
          <w:sz w:val="24"/>
          <w:szCs w:val="24"/>
        </w:rPr>
        <w:t>of the bioretention area. Work shall be completed and coordinated with connecting storm drainage improvements as required in other specification sections.</w:t>
      </w:r>
    </w:p>
    <w:p w14:paraId="0000000A" w14:textId="77777777" w:rsidR="00AE2DDC" w:rsidRDefault="00AE2DDC">
      <w:pPr>
        <w:pBdr>
          <w:top w:val="nil"/>
          <w:left w:val="nil"/>
          <w:bottom w:val="nil"/>
          <w:right w:val="nil"/>
          <w:between w:val="nil"/>
        </w:pBdr>
        <w:rPr>
          <w:color w:val="000000"/>
          <w:sz w:val="24"/>
          <w:szCs w:val="24"/>
        </w:rPr>
      </w:pPr>
    </w:p>
    <w:p w14:paraId="0000000B" w14:textId="77777777" w:rsidR="00AE2DDC" w:rsidRDefault="00C0584F">
      <w:pPr>
        <w:pBdr>
          <w:top w:val="nil"/>
          <w:left w:val="nil"/>
          <w:bottom w:val="nil"/>
          <w:right w:val="nil"/>
          <w:between w:val="nil"/>
        </w:pBdr>
        <w:jc w:val="both"/>
        <w:rPr>
          <w:color w:val="000000"/>
          <w:sz w:val="24"/>
          <w:szCs w:val="24"/>
        </w:rPr>
      </w:pPr>
      <w:r>
        <w:rPr>
          <w:color w:val="000000"/>
          <w:sz w:val="24"/>
          <w:szCs w:val="24"/>
          <w:u w:val="single"/>
        </w:rPr>
        <w:t>MATERIALS</w:t>
      </w:r>
    </w:p>
    <w:p w14:paraId="0000000C" w14:textId="77777777" w:rsidR="00AE2DDC" w:rsidRDefault="00AE2DDC">
      <w:pPr>
        <w:pBdr>
          <w:top w:val="nil"/>
          <w:left w:val="nil"/>
          <w:bottom w:val="nil"/>
          <w:right w:val="nil"/>
          <w:between w:val="nil"/>
        </w:pBdr>
        <w:rPr>
          <w:color w:val="000000"/>
          <w:sz w:val="24"/>
          <w:szCs w:val="24"/>
        </w:rPr>
      </w:pPr>
    </w:p>
    <w:p w14:paraId="0000000D" w14:textId="77777777" w:rsidR="00AE2DDC" w:rsidRDefault="00C0584F">
      <w:pPr>
        <w:pBdr>
          <w:top w:val="nil"/>
          <w:left w:val="nil"/>
          <w:bottom w:val="nil"/>
          <w:right w:val="nil"/>
          <w:between w:val="nil"/>
        </w:pBdr>
        <w:jc w:val="both"/>
        <w:rPr>
          <w:color w:val="000000"/>
          <w:sz w:val="24"/>
          <w:szCs w:val="24"/>
        </w:rPr>
      </w:pPr>
      <w:r>
        <w:rPr>
          <w:color w:val="000000"/>
          <w:sz w:val="24"/>
          <w:szCs w:val="24"/>
        </w:rPr>
        <w:t>The Bioretention Soil shall be a mixture of sand, compost, and topsoil to the following proportions by volume: 40% Sand, 20-30% topsoil, and 30-40% compost. Compost, sand, and topsoil materials shall be as specified herein.</w:t>
      </w:r>
    </w:p>
    <w:p w14:paraId="0000000E" w14:textId="77777777" w:rsidR="00AE2DDC" w:rsidRDefault="00AE2DDC">
      <w:pPr>
        <w:pBdr>
          <w:top w:val="nil"/>
          <w:left w:val="nil"/>
          <w:bottom w:val="nil"/>
          <w:right w:val="nil"/>
          <w:between w:val="nil"/>
        </w:pBdr>
        <w:rPr>
          <w:color w:val="000000"/>
          <w:sz w:val="24"/>
          <w:szCs w:val="24"/>
        </w:rPr>
      </w:pPr>
    </w:p>
    <w:p w14:paraId="0000000F" w14:textId="77777777" w:rsidR="00AE2DDC" w:rsidRDefault="00C0584F">
      <w:pPr>
        <w:numPr>
          <w:ilvl w:val="0"/>
          <w:numId w:val="1"/>
        </w:numPr>
        <w:pBdr>
          <w:top w:val="nil"/>
          <w:left w:val="nil"/>
          <w:bottom w:val="nil"/>
          <w:right w:val="nil"/>
          <w:between w:val="nil"/>
        </w:pBdr>
        <w:tabs>
          <w:tab w:val="left" w:pos="821"/>
        </w:tabs>
        <w:ind w:left="540"/>
        <w:jc w:val="both"/>
        <w:rPr>
          <w:color w:val="000000"/>
          <w:sz w:val="24"/>
          <w:szCs w:val="24"/>
        </w:rPr>
      </w:pPr>
      <w:r>
        <w:rPr>
          <w:color w:val="000000"/>
          <w:sz w:val="24"/>
          <w:szCs w:val="24"/>
        </w:rPr>
        <w:t>Topsoil: The USDA textural classification of the Topsoil for the Bioretention Soil shall be LOAMY SAND or SANDY LOAM. The Topsoil shall be fertile, friable soil, uncontaminated by salt water, foreign matter, or substances harmful to plant growth. There should be no course fragments over 1-inch in size. The soil shall have at least 4 percent organic matter but not more than 8 percent on a dry weight basis, soil moisture content less than 8% by weight for installation, and a pH range between 5.5 to 6.5. The Topsoil shall be tested and meet the following criteria:</w:t>
      </w:r>
    </w:p>
    <w:p w14:paraId="00000010" w14:textId="77777777" w:rsidR="00AE2DDC" w:rsidRDefault="00AE2DDC">
      <w:pPr>
        <w:pBdr>
          <w:top w:val="nil"/>
          <w:left w:val="nil"/>
          <w:bottom w:val="nil"/>
          <w:right w:val="nil"/>
          <w:between w:val="nil"/>
        </w:pBdr>
        <w:rPr>
          <w:color w:val="000000"/>
          <w:sz w:val="24"/>
          <w:szCs w:val="24"/>
        </w:rPr>
      </w:pPr>
    </w:p>
    <w:tbl>
      <w:tblPr>
        <w:tblStyle w:val="a"/>
        <w:tblW w:w="8820" w:type="dxa"/>
        <w:tblInd w:w="53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4410"/>
        <w:gridCol w:w="4410"/>
      </w:tblGrid>
      <w:tr w:rsidR="00AE2DDC" w14:paraId="37D226E8" w14:textId="77777777" w:rsidTr="00D23B61">
        <w:trPr>
          <w:trHeight w:val="288"/>
        </w:trPr>
        <w:tc>
          <w:tcPr>
            <w:tcW w:w="4410" w:type="dxa"/>
            <w:vAlign w:val="center"/>
          </w:tcPr>
          <w:p w14:paraId="00000012" w14:textId="77777777" w:rsidR="00AE2DDC" w:rsidRPr="008F6127" w:rsidRDefault="00C0584F">
            <w:pPr>
              <w:pBdr>
                <w:top w:val="nil"/>
                <w:left w:val="nil"/>
                <w:bottom w:val="nil"/>
                <w:right w:val="nil"/>
                <w:between w:val="nil"/>
              </w:pBdr>
              <w:ind w:hanging="75"/>
              <w:jc w:val="center"/>
              <w:rPr>
                <w:b/>
                <w:color w:val="000000"/>
              </w:rPr>
            </w:pPr>
            <w:r w:rsidRPr="008F6127">
              <w:rPr>
                <w:b/>
                <w:color w:val="000000"/>
              </w:rPr>
              <w:t>Sieve Size</w:t>
            </w:r>
          </w:p>
        </w:tc>
        <w:tc>
          <w:tcPr>
            <w:tcW w:w="4410" w:type="dxa"/>
            <w:vAlign w:val="center"/>
          </w:tcPr>
          <w:p w14:paraId="00000013" w14:textId="77777777" w:rsidR="00AE2DDC" w:rsidRPr="008F6127" w:rsidRDefault="00C0584F">
            <w:pPr>
              <w:pBdr>
                <w:top w:val="nil"/>
                <w:left w:val="nil"/>
                <w:bottom w:val="nil"/>
                <w:right w:val="nil"/>
                <w:between w:val="nil"/>
              </w:pBdr>
              <w:ind w:firstLine="132"/>
              <w:jc w:val="center"/>
              <w:rPr>
                <w:b/>
                <w:color w:val="000000"/>
              </w:rPr>
            </w:pPr>
            <w:r w:rsidRPr="008F6127">
              <w:rPr>
                <w:b/>
                <w:color w:val="000000"/>
              </w:rPr>
              <w:t>Percent Passing by Weight</w:t>
            </w:r>
          </w:p>
        </w:tc>
      </w:tr>
      <w:tr w:rsidR="00AE2DDC" w14:paraId="142B7065" w14:textId="77777777" w:rsidTr="00D23B61">
        <w:trPr>
          <w:trHeight w:val="288"/>
        </w:trPr>
        <w:tc>
          <w:tcPr>
            <w:tcW w:w="4410" w:type="dxa"/>
            <w:vAlign w:val="center"/>
          </w:tcPr>
          <w:p w14:paraId="00000015" w14:textId="77777777" w:rsidR="00AE2DDC" w:rsidRPr="008F6127" w:rsidRDefault="00C0584F">
            <w:pPr>
              <w:pBdr>
                <w:top w:val="nil"/>
                <w:left w:val="nil"/>
                <w:bottom w:val="nil"/>
                <w:right w:val="nil"/>
                <w:between w:val="nil"/>
              </w:pBdr>
              <w:jc w:val="center"/>
              <w:rPr>
                <w:color w:val="000000"/>
              </w:rPr>
            </w:pPr>
            <w:r w:rsidRPr="008F6127">
              <w:rPr>
                <w:color w:val="000000"/>
              </w:rPr>
              <w:t>No. 10</w:t>
            </w:r>
          </w:p>
        </w:tc>
        <w:tc>
          <w:tcPr>
            <w:tcW w:w="4410" w:type="dxa"/>
            <w:vAlign w:val="center"/>
          </w:tcPr>
          <w:p w14:paraId="00000017" w14:textId="77777777" w:rsidR="00AE2DDC" w:rsidRPr="008F6127" w:rsidRDefault="00C0584F">
            <w:pPr>
              <w:pBdr>
                <w:top w:val="nil"/>
                <w:left w:val="nil"/>
                <w:bottom w:val="nil"/>
                <w:right w:val="nil"/>
                <w:between w:val="nil"/>
              </w:pBdr>
              <w:jc w:val="center"/>
              <w:rPr>
                <w:color w:val="000000"/>
              </w:rPr>
            </w:pPr>
            <w:r w:rsidRPr="008F6127">
              <w:rPr>
                <w:color w:val="000000"/>
              </w:rPr>
              <w:t>85-100</w:t>
            </w:r>
          </w:p>
        </w:tc>
      </w:tr>
      <w:tr w:rsidR="00AE2DDC" w14:paraId="61838B8F" w14:textId="77777777" w:rsidTr="00D23B61">
        <w:trPr>
          <w:trHeight w:val="288"/>
        </w:trPr>
        <w:tc>
          <w:tcPr>
            <w:tcW w:w="4410" w:type="dxa"/>
            <w:vAlign w:val="center"/>
          </w:tcPr>
          <w:p w14:paraId="00000019" w14:textId="77777777" w:rsidR="00AE2DDC" w:rsidRPr="008F6127" w:rsidRDefault="00C0584F">
            <w:pPr>
              <w:pBdr>
                <w:top w:val="nil"/>
                <w:left w:val="nil"/>
                <w:bottom w:val="nil"/>
                <w:right w:val="nil"/>
                <w:between w:val="nil"/>
              </w:pBdr>
              <w:jc w:val="center"/>
              <w:rPr>
                <w:color w:val="000000"/>
              </w:rPr>
            </w:pPr>
            <w:r w:rsidRPr="008F6127">
              <w:rPr>
                <w:color w:val="000000"/>
              </w:rPr>
              <w:t>No. 40</w:t>
            </w:r>
          </w:p>
        </w:tc>
        <w:tc>
          <w:tcPr>
            <w:tcW w:w="4410" w:type="dxa"/>
            <w:vAlign w:val="center"/>
          </w:tcPr>
          <w:p w14:paraId="0000001B" w14:textId="77777777" w:rsidR="00AE2DDC" w:rsidRPr="008F6127" w:rsidRDefault="00C0584F">
            <w:pPr>
              <w:pBdr>
                <w:top w:val="nil"/>
                <w:left w:val="nil"/>
                <w:bottom w:val="nil"/>
                <w:right w:val="nil"/>
                <w:between w:val="nil"/>
              </w:pBdr>
              <w:jc w:val="center"/>
              <w:rPr>
                <w:color w:val="000000"/>
              </w:rPr>
            </w:pPr>
            <w:r w:rsidRPr="008F6127">
              <w:rPr>
                <w:color w:val="000000"/>
              </w:rPr>
              <w:t>35-85</w:t>
            </w:r>
          </w:p>
        </w:tc>
      </w:tr>
      <w:tr w:rsidR="00AE2DDC" w14:paraId="0E8DE7FC" w14:textId="77777777" w:rsidTr="00D23B61">
        <w:trPr>
          <w:trHeight w:val="288"/>
        </w:trPr>
        <w:tc>
          <w:tcPr>
            <w:tcW w:w="4410" w:type="dxa"/>
            <w:vAlign w:val="center"/>
          </w:tcPr>
          <w:p w14:paraId="0000001D" w14:textId="77777777" w:rsidR="00AE2DDC" w:rsidRPr="008F6127" w:rsidRDefault="00C0584F">
            <w:pPr>
              <w:pBdr>
                <w:top w:val="nil"/>
                <w:left w:val="nil"/>
                <w:bottom w:val="nil"/>
                <w:right w:val="nil"/>
                <w:between w:val="nil"/>
              </w:pBdr>
              <w:jc w:val="center"/>
              <w:rPr>
                <w:color w:val="000000"/>
              </w:rPr>
            </w:pPr>
            <w:r w:rsidRPr="008F6127">
              <w:rPr>
                <w:color w:val="000000"/>
              </w:rPr>
              <w:t>No. 200</w:t>
            </w:r>
          </w:p>
        </w:tc>
        <w:tc>
          <w:tcPr>
            <w:tcW w:w="4410" w:type="dxa"/>
            <w:vAlign w:val="center"/>
          </w:tcPr>
          <w:p w14:paraId="0000001F" w14:textId="77777777" w:rsidR="00AE2DDC" w:rsidRPr="008F6127" w:rsidRDefault="00C0584F">
            <w:pPr>
              <w:pBdr>
                <w:top w:val="nil"/>
                <w:left w:val="nil"/>
                <w:bottom w:val="nil"/>
                <w:right w:val="nil"/>
                <w:between w:val="nil"/>
              </w:pBdr>
              <w:jc w:val="center"/>
              <w:rPr>
                <w:color w:val="000000"/>
              </w:rPr>
            </w:pPr>
            <w:r w:rsidRPr="008F6127">
              <w:rPr>
                <w:color w:val="000000"/>
              </w:rPr>
              <w:t>10-35</w:t>
            </w:r>
          </w:p>
        </w:tc>
      </w:tr>
      <w:tr w:rsidR="00AE2DDC" w14:paraId="75096BC3" w14:textId="77777777" w:rsidTr="00D23B61">
        <w:trPr>
          <w:trHeight w:val="288"/>
        </w:trPr>
        <w:tc>
          <w:tcPr>
            <w:tcW w:w="4410" w:type="dxa"/>
            <w:vAlign w:val="center"/>
          </w:tcPr>
          <w:p w14:paraId="00000021" w14:textId="77777777" w:rsidR="00AE2DDC" w:rsidRPr="008F6127" w:rsidRDefault="00C0584F">
            <w:pPr>
              <w:pBdr>
                <w:top w:val="nil"/>
                <w:left w:val="nil"/>
                <w:bottom w:val="nil"/>
                <w:right w:val="nil"/>
                <w:between w:val="nil"/>
              </w:pBdr>
              <w:jc w:val="center"/>
              <w:rPr>
                <w:color w:val="000000"/>
              </w:rPr>
            </w:pPr>
            <w:r w:rsidRPr="008F6127">
              <w:rPr>
                <w:color w:val="000000"/>
              </w:rPr>
              <w:t>&lt;20µm</w:t>
            </w:r>
          </w:p>
        </w:tc>
        <w:tc>
          <w:tcPr>
            <w:tcW w:w="4410" w:type="dxa"/>
            <w:vAlign w:val="center"/>
          </w:tcPr>
          <w:p w14:paraId="00000023" w14:textId="77777777" w:rsidR="00AE2DDC" w:rsidRPr="008F6127" w:rsidRDefault="00C0584F">
            <w:pPr>
              <w:pBdr>
                <w:top w:val="nil"/>
                <w:left w:val="nil"/>
                <w:bottom w:val="nil"/>
                <w:right w:val="nil"/>
                <w:between w:val="nil"/>
              </w:pBdr>
              <w:jc w:val="center"/>
              <w:rPr>
                <w:color w:val="000000"/>
              </w:rPr>
            </w:pPr>
            <w:r w:rsidRPr="008F6127">
              <w:rPr>
                <w:color w:val="000000"/>
              </w:rPr>
              <w:t>&lt; 5</w:t>
            </w:r>
          </w:p>
        </w:tc>
      </w:tr>
    </w:tbl>
    <w:p w14:paraId="00000024" w14:textId="77777777" w:rsidR="00AE2DDC" w:rsidRDefault="00AE2DDC">
      <w:pPr>
        <w:pBdr>
          <w:top w:val="nil"/>
          <w:left w:val="nil"/>
          <w:bottom w:val="nil"/>
          <w:right w:val="nil"/>
          <w:between w:val="nil"/>
        </w:pBdr>
        <w:tabs>
          <w:tab w:val="left" w:pos="821"/>
        </w:tabs>
        <w:ind w:left="540"/>
        <w:rPr>
          <w:color w:val="000000"/>
          <w:sz w:val="24"/>
          <w:szCs w:val="24"/>
        </w:rPr>
      </w:pPr>
    </w:p>
    <w:p w14:paraId="00000026" w14:textId="77777777" w:rsidR="00AE2DDC" w:rsidRDefault="00C0584F">
      <w:pPr>
        <w:numPr>
          <w:ilvl w:val="0"/>
          <w:numId w:val="1"/>
        </w:numPr>
        <w:pBdr>
          <w:top w:val="nil"/>
          <w:left w:val="nil"/>
          <w:bottom w:val="nil"/>
          <w:right w:val="nil"/>
          <w:between w:val="nil"/>
        </w:pBdr>
        <w:tabs>
          <w:tab w:val="left" w:pos="821"/>
        </w:tabs>
        <w:ind w:left="540"/>
        <w:jc w:val="both"/>
        <w:rPr>
          <w:color w:val="000000"/>
          <w:sz w:val="24"/>
          <w:szCs w:val="24"/>
        </w:rPr>
      </w:pPr>
      <w:r>
        <w:rPr>
          <w:color w:val="000000"/>
          <w:sz w:val="24"/>
          <w:szCs w:val="24"/>
        </w:rPr>
        <w:t>The sand component of the Bioretention Soil shall be coarse sand that meets ASTM C- 33 (Fine Aggregate) with a Fines Modulus Index of 2.75 or greater and shall conform to the following gradation:</w:t>
      </w:r>
    </w:p>
    <w:p w14:paraId="00000027" w14:textId="77777777" w:rsidR="00AE2DDC" w:rsidRDefault="00AE2DDC">
      <w:pPr>
        <w:pBdr>
          <w:top w:val="nil"/>
          <w:left w:val="nil"/>
          <w:bottom w:val="nil"/>
          <w:right w:val="nil"/>
          <w:between w:val="nil"/>
        </w:pBdr>
        <w:rPr>
          <w:color w:val="000000"/>
          <w:sz w:val="24"/>
          <w:szCs w:val="24"/>
        </w:rPr>
      </w:pPr>
    </w:p>
    <w:tbl>
      <w:tblPr>
        <w:tblStyle w:val="a0"/>
        <w:tblW w:w="8820" w:type="dxa"/>
        <w:tblInd w:w="53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4410"/>
        <w:gridCol w:w="4410"/>
      </w:tblGrid>
      <w:tr w:rsidR="00AE2DDC" w14:paraId="0578010B" w14:textId="77777777" w:rsidTr="00D23B61">
        <w:trPr>
          <w:trHeight w:val="288"/>
        </w:trPr>
        <w:tc>
          <w:tcPr>
            <w:tcW w:w="4410" w:type="dxa"/>
            <w:vAlign w:val="center"/>
          </w:tcPr>
          <w:p w14:paraId="00000029" w14:textId="77777777" w:rsidR="00AE2DDC" w:rsidRPr="008F6127" w:rsidRDefault="00C0584F">
            <w:pPr>
              <w:pBdr>
                <w:top w:val="nil"/>
                <w:left w:val="nil"/>
                <w:bottom w:val="nil"/>
                <w:right w:val="nil"/>
                <w:between w:val="nil"/>
              </w:pBdr>
              <w:ind w:hanging="75"/>
              <w:jc w:val="center"/>
              <w:rPr>
                <w:b/>
                <w:color w:val="000000"/>
              </w:rPr>
            </w:pPr>
            <w:r w:rsidRPr="008F6127">
              <w:rPr>
                <w:b/>
                <w:color w:val="000000"/>
              </w:rPr>
              <w:t>Sieve Size</w:t>
            </w:r>
          </w:p>
        </w:tc>
        <w:tc>
          <w:tcPr>
            <w:tcW w:w="4410" w:type="dxa"/>
            <w:vAlign w:val="center"/>
          </w:tcPr>
          <w:p w14:paraId="0000002A" w14:textId="77777777" w:rsidR="00AE2DDC" w:rsidRPr="008F6127" w:rsidRDefault="00C0584F">
            <w:pPr>
              <w:pBdr>
                <w:top w:val="nil"/>
                <w:left w:val="nil"/>
                <w:bottom w:val="nil"/>
                <w:right w:val="nil"/>
                <w:between w:val="nil"/>
              </w:pBdr>
              <w:ind w:firstLine="132"/>
              <w:jc w:val="center"/>
              <w:rPr>
                <w:b/>
                <w:color w:val="000000"/>
              </w:rPr>
            </w:pPr>
            <w:r w:rsidRPr="008F6127">
              <w:rPr>
                <w:b/>
                <w:color w:val="000000"/>
              </w:rPr>
              <w:t>Percent Passing by Weight</w:t>
            </w:r>
          </w:p>
        </w:tc>
      </w:tr>
      <w:tr w:rsidR="00AE2DDC" w14:paraId="67CCB75E" w14:textId="77777777" w:rsidTr="00D23B61">
        <w:trPr>
          <w:trHeight w:val="288"/>
        </w:trPr>
        <w:tc>
          <w:tcPr>
            <w:tcW w:w="4410" w:type="dxa"/>
            <w:vAlign w:val="center"/>
          </w:tcPr>
          <w:p w14:paraId="0000002C" w14:textId="77777777" w:rsidR="00AE2DDC" w:rsidRPr="008F6127" w:rsidRDefault="00C0584F">
            <w:pPr>
              <w:pBdr>
                <w:top w:val="nil"/>
                <w:left w:val="nil"/>
                <w:bottom w:val="nil"/>
                <w:right w:val="nil"/>
                <w:between w:val="nil"/>
              </w:pBdr>
              <w:jc w:val="center"/>
              <w:rPr>
                <w:color w:val="000000"/>
              </w:rPr>
            </w:pPr>
            <w:r w:rsidRPr="008F6127">
              <w:rPr>
                <w:color w:val="000000"/>
              </w:rPr>
              <w:t>3/8-inch</w:t>
            </w:r>
          </w:p>
        </w:tc>
        <w:tc>
          <w:tcPr>
            <w:tcW w:w="4410" w:type="dxa"/>
            <w:vAlign w:val="center"/>
          </w:tcPr>
          <w:p w14:paraId="0000002E" w14:textId="77777777" w:rsidR="00AE2DDC" w:rsidRPr="008F6127" w:rsidRDefault="00C0584F">
            <w:pPr>
              <w:pBdr>
                <w:top w:val="nil"/>
                <w:left w:val="nil"/>
                <w:bottom w:val="nil"/>
                <w:right w:val="nil"/>
                <w:between w:val="nil"/>
              </w:pBdr>
              <w:jc w:val="center"/>
              <w:rPr>
                <w:color w:val="000000"/>
              </w:rPr>
            </w:pPr>
            <w:r w:rsidRPr="008F6127">
              <w:rPr>
                <w:color w:val="000000"/>
              </w:rPr>
              <w:t>100</w:t>
            </w:r>
          </w:p>
        </w:tc>
      </w:tr>
      <w:tr w:rsidR="00AE2DDC" w14:paraId="33A39014" w14:textId="77777777" w:rsidTr="00D23B61">
        <w:trPr>
          <w:trHeight w:val="288"/>
        </w:trPr>
        <w:tc>
          <w:tcPr>
            <w:tcW w:w="4410" w:type="dxa"/>
            <w:vAlign w:val="center"/>
          </w:tcPr>
          <w:p w14:paraId="00000030" w14:textId="77777777" w:rsidR="00AE2DDC" w:rsidRPr="008F6127" w:rsidRDefault="00C0584F">
            <w:pPr>
              <w:pBdr>
                <w:top w:val="nil"/>
                <w:left w:val="nil"/>
                <w:bottom w:val="nil"/>
                <w:right w:val="nil"/>
                <w:between w:val="nil"/>
              </w:pBdr>
              <w:jc w:val="center"/>
              <w:rPr>
                <w:color w:val="000000"/>
              </w:rPr>
            </w:pPr>
            <w:r w:rsidRPr="008F6127">
              <w:rPr>
                <w:color w:val="000000"/>
              </w:rPr>
              <w:t>No. 4</w:t>
            </w:r>
          </w:p>
        </w:tc>
        <w:tc>
          <w:tcPr>
            <w:tcW w:w="4410" w:type="dxa"/>
            <w:vAlign w:val="center"/>
          </w:tcPr>
          <w:p w14:paraId="00000032" w14:textId="77777777" w:rsidR="00AE2DDC" w:rsidRPr="008F6127" w:rsidRDefault="00C0584F">
            <w:pPr>
              <w:pBdr>
                <w:top w:val="nil"/>
                <w:left w:val="nil"/>
                <w:bottom w:val="nil"/>
                <w:right w:val="nil"/>
                <w:between w:val="nil"/>
              </w:pBdr>
              <w:jc w:val="center"/>
              <w:rPr>
                <w:color w:val="000000"/>
              </w:rPr>
            </w:pPr>
            <w:r w:rsidRPr="008F6127">
              <w:rPr>
                <w:color w:val="000000"/>
              </w:rPr>
              <w:t>95-100</w:t>
            </w:r>
          </w:p>
        </w:tc>
      </w:tr>
      <w:tr w:rsidR="00AE2DDC" w14:paraId="24DB1D91" w14:textId="77777777" w:rsidTr="00D23B61">
        <w:trPr>
          <w:trHeight w:val="288"/>
        </w:trPr>
        <w:tc>
          <w:tcPr>
            <w:tcW w:w="4410" w:type="dxa"/>
            <w:vAlign w:val="center"/>
          </w:tcPr>
          <w:p w14:paraId="00000034" w14:textId="77777777" w:rsidR="00AE2DDC" w:rsidRPr="008F6127" w:rsidRDefault="00C0584F">
            <w:pPr>
              <w:pBdr>
                <w:top w:val="nil"/>
                <w:left w:val="nil"/>
                <w:bottom w:val="nil"/>
                <w:right w:val="nil"/>
                <w:between w:val="nil"/>
              </w:pBdr>
              <w:jc w:val="center"/>
              <w:rPr>
                <w:color w:val="000000"/>
              </w:rPr>
            </w:pPr>
            <w:r w:rsidRPr="008F6127">
              <w:rPr>
                <w:color w:val="000000"/>
              </w:rPr>
              <w:t>No. 8</w:t>
            </w:r>
          </w:p>
        </w:tc>
        <w:tc>
          <w:tcPr>
            <w:tcW w:w="4410" w:type="dxa"/>
            <w:vAlign w:val="center"/>
          </w:tcPr>
          <w:p w14:paraId="00000036" w14:textId="77777777" w:rsidR="00AE2DDC" w:rsidRPr="008F6127" w:rsidRDefault="00C0584F">
            <w:pPr>
              <w:pBdr>
                <w:top w:val="nil"/>
                <w:left w:val="nil"/>
                <w:bottom w:val="nil"/>
                <w:right w:val="nil"/>
                <w:between w:val="nil"/>
              </w:pBdr>
              <w:jc w:val="center"/>
              <w:rPr>
                <w:color w:val="000000"/>
              </w:rPr>
            </w:pPr>
            <w:r w:rsidRPr="008F6127">
              <w:rPr>
                <w:color w:val="000000"/>
              </w:rPr>
              <w:t>80-100</w:t>
            </w:r>
          </w:p>
        </w:tc>
      </w:tr>
      <w:tr w:rsidR="00AE2DDC" w14:paraId="050A1667" w14:textId="77777777" w:rsidTr="00D23B61">
        <w:trPr>
          <w:trHeight w:val="288"/>
        </w:trPr>
        <w:tc>
          <w:tcPr>
            <w:tcW w:w="4410" w:type="dxa"/>
            <w:vAlign w:val="center"/>
          </w:tcPr>
          <w:p w14:paraId="00000038" w14:textId="77777777" w:rsidR="00AE2DDC" w:rsidRPr="008F6127" w:rsidRDefault="00C0584F">
            <w:pPr>
              <w:pBdr>
                <w:top w:val="nil"/>
                <w:left w:val="nil"/>
                <w:bottom w:val="nil"/>
                <w:right w:val="nil"/>
                <w:between w:val="nil"/>
              </w:pBdr>
              <w:jc w:val="center"/>
              <w:rPr>
                <w:color w:val="000000"/>
              </w:rPr>
            </w:pPr>
            <w:r w:rsidRPr="008F6127">
              <w:rPr>
                <w:color w:val="000000"/>
              </w:rPr>
              <w:t>No. 16</w:t>
            </w:r>
          </w:p>
        </w:tc>
        <w:tc>
          <w:tcPr>
            <w:tcW w:w="4410" w:type="dxa"/>
            <w:vAlign w:val="center"/>
          </w:tcPr>
          <w:p w14:paraId="0000003A" w14:textId="77777777" w:rsidR="00AE2DDC" w:rsidRPr="008F6127" w:rsidRDefault="00C0584F">
            <w:pPr>
              <w:pBdr>
                <w:top w:val="nil"/>
                <w:left w:val="nil"/>
                <w:bottom w:val="nil"/>
                <w:right w:val="nil"/>
                <w:between w:val="nil"/>
              </w:pBdr>
              <w:jc w:val="center"/>
              <w:rPr>
                <w:color w:val="000000"/>
              </w:rPr>
            </w:pPr>
            <w:r w:rsidRPr="008F6127">
              <w:rPr>
                <w:color w:val="000000"/>
              </w:rPr>
              <w:t>50-85</w:t>
            </w:r>
          </w:p>
        </w:tc>
      </w:tr>
      <w:tr w:rsidR="00AE2DDC" w14:paraId="6F0A0EE9" w14:textId="77777777" w:rsidTr="00D23B61">
        <w:trPr>
          <w:trHeight w:val="288"/>
        </w:trPr>
        <w:tc>
          <w:tcPr>
            <w:tcW w:w="4410" w:type="dxa"/>
            <w:vAlign w:val="center"/>
          </w:tcPr>
          <w:p w14:paraId="0000003C" w14:textId="77777777" w:rsidR="00AE2DDC" w:rsidRPr="008F6127" w:rsidRDefault="00C0584F">
            <w:pPr>
              <w:pBdr>
                <w:top w:val="nil"/>
                <w:left w:val="nil"/>
                <w:bottom w:val="nil"/>
                <w:right w:val="nil"/>
                <w:between w:val="nil"/>
              </w:pBdr>
              <w:jc w:val="center"/>
              <w:rPr>
                <w:color w:val="000000"/>
              </w:rPr>
            </w:pPr>
            <w:r w:rsidRPr="008F6127">
              <w:rPr>
                <w:color w:val="000000"/>
              </w:rPr>
              <w:t>No. 30</w:t>
            </w:r>
          </w:p>
        </w:tc>
        <w:tc>
          <w:tcPr>
            <w:tcW w:w="4410" w:type="dxa"/>
            <w:vAlign w:val="center"/>
          </w:tcPr>
          <w:p w14:paraId="0000003E" w14:textId="77777777" w:rsidR="00AE2DDC" w:rsidRPr="008F6127" w:rsidRDefault="00C0584F">
            <w:pPr>
              <w:pBdr>
                <w:top w:val="nil"/>
                <w:left w:val="nil"/>
                <w:bottom w:val="nil"/>
                <w:right w:val="nil"/>
                <w:between w:val="nil"/>
              </w:pBdr>
              <w:jc w:val="center"/>
              <w:rPr>
                <w:color w:val="000000"/>
              </w:rPr>
            </w:pPr>
            <w:r w:rsidRPr="008F6127">
              <w:rPr>
                <w:color w:val="000000"/>
              </w:rPr>
              <w:t>25-60</w:t>
            </w:r>
          </w:p>
        </w:tc>
      </w:tr>
      <w:tr w:rsidR="00AE2DDC" w14:paraId="6FEAE1E6" w14:textId="77777777" w:rsidTr="00D23B61">
        <w:trPr>
          <w:trHeight w:val="288"/>
        </w:trPr>
        <w:tc>
          <w:tcPr>
            <w:tcW w:w="4410" w:type="dxa"/>
            <w:vAlign w:val="center"/>
          </w:tcPr>
          <w:p w14:paraId="00000040" w14:textId="77777777" w:rsidR="00AE2DDC" w:rsidRPr="008F6127" w:rsidRDefault="00C0584F">
            <w:pPr>
              <w:pBdr>
                <w:top w:val="nil"/>
                <w:left w:val="nil"/>
                <w:bottom w:val="nil"/>
                <w:right w:val="nil"/>
                <w:between w:val="nil"/>
              </w:pBdr>
              <w:jc w:val="center"/>
              <w:rPr>
                <w:color w:val="000000"/>
              </w:rPr>
            </w:pPr>
            <w:r w:rsidRPr="008F6127">
              <w:rPr>
                <w:color w:val="000000"/>
              </w:rPr>
              <w:t>No. 50</w:t>
            </w:r>
          </w:p>
        </w:tc>
        <w:tc>
          <w:tcPr>
            <w:tcW w:w="4410" w:type="dxa"/>
            <w:vAlign w:val="center"/>
          </w:tcPr>
          <w:p w14:paraId="00000042" w14:textId="77777777" w:rsidR="00AE2DDC" w:rsidRPr="008F6127" w:rsidRDefault="00C0584F">
            <w:pPr>
              <w:pBdr>
                <w:top w:val="nil"/>
                <w:left w:val="nil"/>
                <w:bottom w:val="nil"/>
                <w:right w:val="nil"/>
                <w:between w:val="nil"/>
              </w:pBdr>
              <w:jc w:val="center"/>
              <w:rPr>
                <w:color w:val="000000"/>
              </w:rPr>
            </w:pPr>
            <w:r w:rsidRPr="008F6127">
              <w:rPr>
                <w:color w:val="000000"/>
              </w:rPr>
              <w:t>10-30</w:t>
            </w:r>
          </w:p>
        </w:tc>
      </w:tr>
      <w:tr w:rsidR="00AE2DDC" w14:paraId="20E92C11" w14:textId="77777777" w:rsidTr="00D23B61">
        <w:trPr>
          <w:trHeight w:val="288"/>
        </w:trPr>
        <w:tc>
          <w:tcPr>
            <w:tcW w:w="4410" w:type="dxa"/>
            <w:vAlign w:val="center"/>
          </w:tcPr>
          <w:p w14:paraId="00000044" w14:textId="77777777" w:rsidR="00AE2DDC" w:rsidRPr="008F6127" w:rsidRDefault="00C0584F">
            <w:pPr>
              <w:pBdr>
                <w:top w:val="nil"/>
                <w:left w:val="nil"/>
                <w:bottom w:val="nil"/>
                <w:right w:val="nil"/>
                <w:between w:val="nil"/>
              </w:pBdr>
              <w:jc w:val="center"/>
              <w:rPr>
                <w:color w:val="000000"/>
              </w:rPr>
            </w:pPr>
            <w:r w:rsidRPr="008F6127">
              <w:rPr>
                <w:color w:val="000000"/>
              </w:rPr>
              <w:t>No. 100</w:t>
            </w:r>
          </w:p>
        </w:tc>
        <w:tc>
          <w:tcPr>
            <w:tcW w:w="4410" w:type="dxa"/>
            <w:vAlign w:val="center"/>
          </w:tcPr>
          <w:p w14:paraId="00000046" w14:textId="77777777" w:rsidR="00AE2DDC" w:rsidRPr="008F6127" w:rsidRDefault="00C0584F">
            <w:pPr>
              <w:pBdr>
                <w:top w:val="nil"/>
                <w:left w:val="nil"/>
                <w:bottom w:val="nil"/>
                <w:right w:val="nil"/>
                <w:between w:val="nil"/>
              </w:pBdr>
              <w:jc w:val="center"/>
              <w:rPr>
                <w:color w:val="000000"/>
              </w:rPr>
            </w:pPr>
            <w:r w:rsidRPr="008F6127">
              <w:rPr>
                <w:color w:val="000000"/>
              </w:rPr>
              <w:t>2-10</w:t>
            </w:r>
          </w:p>
        </w:tc>
      </w:tr>
    </w:tbl>
    <w:p w14:paraId="00000047" w14:textId="77777777" w:rsidR="00AE2DDC" w:rsidRDefault="00AE2DDC">
      <w:pPr>
        <w:pBdr>
          <w:top w:val="nil"/>
          <w:left w:val="nil"/>
          <w:bottom w:val="nil"/>
          <w:right w:val="nil"/>
          <w:between w:val="nil"/>
        </w:pBdr>
        <w:jc w:val="both"/>
        <w:rPr>
          <w:color w:val="000000"/>
          <w:sz w:val="24"/>
          <w:szCs w:val="24"/>
        </w:rPr>
      </w:pPr>
    </w:p>
    <w:p w14:paraId="00000048" w14:textId="77777777" w:rsidR="00AE2DDC" w:rsidRDefault="00C0584F">
      <w:pPr>
        <w:numPr>
          <w:ilvl w:val="0"/>
          <w:numId w:val="1"/>
        </w:numPr>
        <w:pBdr>
          <w:top w:val="nil"/>
          <w:left w:val="nil"/>
          <w:bottom w:val="nil"/>
          <w:right w:val="nil"/>
          <w:between w:val="nil"/>
        </w:pBdr>
        <w:tabs>
          <w:tab w:val="left" w:pos="821"/>
        </w:tabs>
        <w:ind w:left="540"/>
        <w:jc w:val="both"/>
        <w:rPr>
          <w:color w:val="000000"/>
          <w:sz w:val="24"/>
          <w:szCs w:val="24"/>
        </w:rPr>
      </w:pPr>
      <w:r>
        <w:rPr>
          <w:color w:val="000000"/>
          <w:sz w:val="24"/>
          <w:szCs w:val="24"/>
        </w:rPr>
        <w:t xml:space="preserve">The leaf compost shall be a homogeneous and friable mixture of partially </w:t>
      </w:r>
      <w:r>
        <w:rPr>
          <w:color w:val="000000"/>
          <w:sz w:val="24"/>
          <w:szCs w:val="24"/>
        </w:rPr>
        <w:lastRenderedPageBreak/>
        <w:t>decomposed organic matter, with or without soil, resulting from the composting of yard waste in accordance with MassDEP Guidelines. The compost shall not contain biosolids. The compost shall contain less than 1% by dry weight debris including metal, glass, plastic, rubber, asphalt, concrete or masonry. The Carbon to Nitrogen Ratio shall be less than 30 to 1 and the pH shall be between 6.0 and 8.0.</w:t>
      </w:r>
    </w:p>
    <w:p w14:paraId="00000049" w14:textId="77777777" w:rsidR="00AE2DDC" w:rsidRDefault="00AE2DDC">
      <w:pPr>
        <w:pBdr>
          <w:top w:val="nil"/>
          <w:left w:val="nil"/>
          <w:bottom w:val="nil"/>
          <w:right w:val="nil"/>
          <w:between w:val="nil"/>
        </w:pBdr>
        <w:tabs>
          <w:tab w:val="left" w:pos="821"/>
        </w:tabs>
        <w:ind w:left="540"/>
        <w:jc w:val="both"/>
        <w:rPr>
          <w:color w:val="000000"/>
          <w:sz w:val="24"/>
          <w:szCs w:val="24"/>
        </w:rPr>
      </w:pPr>
    </w:p>
    <w:p w14:paraId="0000004A" w14:textId="77777777" w:rsidR="00AE2DDC" w:rsidRDefault="00C0584F">
      <w:pPr>
        <w:pBdr>
          <w:top w:val="nil"/>
          <w:left w:val="nil"/>
          <w:bottom w:val="nil"/>
          <w:right w:val="nil"/>
          <w:between w:val="nil"/>
        </w:pBdr>
        <w:tabs>
          <w:tab w:val="left" w:pos="821"/>
        </w:tabs>
        <w:ind w:left="540"/>
        <w:jc w:val="both"/>
        <w:rPr>
          <w:color w:val="000000"/>
          <w:sz w:val="24"/>
          <w:szCs w:val="24"/>
        </w:rPr>
      </w:pPr>
      <w:r>
        <w:rPr>
          <w:color w:val="000000"/>
          <w:sz w:val="24"/>
          <w:szCs w:val="24"/>
        </w:rPr>
        <w:t>The infiltration rate of the Bioretention Soil Layer within the bioretention areas after installation shall be between 4 inches per hour and 10 inches per hour.</w:t>
      </w:r>
    </w:p>
    <w:p w14:paraId="0000004B" w14:textId="77777777" w:rsidR="00AE2DDC" w:rsidRDefault="00AE2DDC">
      <w:pPr>
        <w:rPr>
          <w:sz w:val="24"/>
          <w:szCs w:val="24"/>
        </w:rPr>
      </w:pPr>
    </w:p>
    <w:p w14:paraId="0000004D" w14:textId="1E9FFF77" w:rsidR="00AE2DDC" w:rsidRPr="005E546B" w:rsidRDefault="00C0584F" w:rsidP="005E546B">
      <w:pPr>
        <w:numPr>
          <w:ilvl w:val="0"/>
          <w:numId w:val="1"/>
        </w:numPr>
        <w:pBdr>
          <w:top w:val="nil"/>
          <w:left w:val="nil"/>
          <w:bottom w:val="nil"/>
          <w:right w:val="nil"/>
          <w:between w:val="nil"/>
        </w:pBdr>
        <w:tabs>
          <w:tab w:val="left" w:pos="821"/>
        </w:tabs>
        <w:ind w:left="540"/>
        <w:jc w:val="both"/>
        <w:rPr>
          <w:color w:val="000000"/>
          <w:sz w:val="24"/>
          <w:szCs w:val="24"/>
        </w:rPr>
      </w:pPr>
      <w:r>
        <w:rPr>
          <w:color w:val="000000"/>
          <w:sz w:val="24"/>
          <w:szCs w:val="24"/>
        </w:rPr>
        <w:t xml:space="preserve">The Bioretention Soil shall be a uniform mix, free of plant residue, stones, stumps, </w:t>
      </w:r>
      <w:proofErr w:type="gramStart"/>
      <w:r>
        <w:rPr>
          <w:color w:val="000000"/>
          <w:sz w:val="24"/>
          <w:szCs w:val="24"/>
        </w:rPr>
        <w:t>roots</w:t>
      </w:r>
      <w:proofErr w:type="gramEnd"/>
      <w:r>
        <w:rPr>
          <w:color w:val="000000"/>
          <w:sz w:val="24"/>
          <w:szCs w:val="24"/>
        </w:rPr>
        <w:t xml:space="preserve"> or other similar objects larger than two inches. No other materials or substances shall be mixed or dumped within the bioretention area that may be harmful to plant growth or prove a hindrance to the planting or maintenance operations. The Bioretention Soil shall be tested and meet the following criteria:</w:t>
      </w:r>
    </w:p>
    <w:p w14:paraId="0000004E" w14:textId="77777777" w:rsidR="00AE2DDC" w:rsidRDefault="00AE2DDC">
      <w:pPr>
        <w:pBdr>
          <w:top w:val="nil"/>
          <w:left w:val="nil"/>
          <w:bottom w:val="nil"/>
          <w:right w:val="nil"/>
          <w:between w:val="nil"/>
        </w:pBdr>
        <w:rPr>
          <w:color w:val="000000"/>
          <w:sz w:val="24"/>
          <w:szCs w:val="24"/>
        </w:rPr>
      </w:pPr>
    </w:p>
    <w:tbl>
      <w:tblPr>
        <w:tblStyle w:val="a1"/>
        <w:tblW w:w="8820" w:type="dxa"/>
        <w:tblInd w:w="53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3640"/>
        <w:gridCol w:w="3080"/>
        <w:gridCol w:w="2100"/>
      </w:tblGrid>
      <w:tr w:rsidR="00D23B61" w14:paraId="2C4C573A" w14:textId="77777777" w:rsidTr="00D23B61">
        <w:trPr>
          <w:trHeight w:val="288"/>
        </w:trPr>
        <w:tc>
          <w:tcPr>
            <w:tcW w:w="3744" w:type="dxa"/>
            <w:vAlign w:val="center"/>
          </w:tcPr>
          <w:p w14:paraId="0000004F" w14:textId="4838EF7B" w:rsidR="00AE2DDC" w:rsidRPr="008F6127" w:rsidRDefault="00C0584F">
            <w:pPr>
              <w:pBdr>
                <w:top w:val="nil"/>
                <w:left w:val="nil"/>
                <w:bottom w:val="nil"/>
                <w:right w:val="nil"/>
                <w:between w:val="nil"/>
              </w:pBdr>
              <w:jc w:val="center"/>
              <w:rPr>
                <w:b/>
                <w:color w:val="000000"/>
              </w:rPr>
            </w:pPr>
            <w:r w:rsidRPr="008F6127">
              <w:rPr>
                <w:b/>
                <w:color w:val="000000"/>
              </w:rPr>
              <w:t>I</w:t>
            </w:r>
            <w:r w:rsidR="00AE3D50" w:rsidRPr="008F6127">
              <w:rPr>
                <w:b/>
                <w:color w:val="000000"/>
              </w:rPr>
              <w:t>tem</w:t>
            </w:r>
          </w:p>
        </w:tc>
        <w:tc>
          <w:tcPr>
            <w:tcW w:w="3168" w:type="dxa"/>
            <w:vAlign w:val="center"/>
          </w:tcPr>
          <w:p w14:paraId="00000050" w14:textId="380012CB" w:rsidR="00AE2DDC" w:rsidRPr="008F6127" w:rsidRDefault="00C0584F">
            <w:pPr>
              <w:pBdr>
                <w:top w:val="nil"/>
                <w:left w:val="nil"/>
                <w:bottom w:val="nil"/>
                <w:right w:val="nil"/>
                <w:between w:val="nil"/>
              </w:pBdr>
              <w:jc w:val="center"/>
              <w:rPr>
                <w:b/>
                <w:color w:val="000000"/>
              </w:rPr>
            </w:pPr>
            <w:r w:rsidRPr="008F6127">
              <w:rPr>
                <w:b/>
                <w:color w:val="000000"/>
              </w:rPr>
              <w:t>C</w:t>
            </w:r>
            <w:r w:rsidR="00AE3D50" w:rsidRPr="008F6127">
              <w:rPr>
                <w:b/>
                <w:color w:val="000000"/>
              </w:rPr>
              <w:t>riteria</w:t>
            </w:r>
          </w:p>
        </w:tc>
        <w:tc>
          <w:tcPr>
            <w:tcW w:w="2160" w:type="dxa"/>
            <w:vAlign w:val="center"/>
          </w:tcPr>
          <w:p w14:paraId="00000051" w14:textId="13B9DE31" w:rsidR="00AE2DDC" w:rsidRPr="008F6127" w:rsidRDefault="00C0584F">
            <w:pPr>
              <w:pBdr>
                <w:top w:val="nil"/>
                <w:left w:val="nil"/>
                <w:bottom w:val="nil"/>
                <w:right w:val="nil"/>
                <w:between w:val="nil"/>
              </w:pBdr>
              <w:jc w:val="center"/>
              <w:rPr>
                <w:b/>
                <w:color w:val="000000"/>
              </w:rPr>
            </w:pPr>
            <w:r w:rsidRPr="008F6127">
              <w:rPr>
                <w:b/>
                <w:color w:val="000000"/>
              </w:rPr>
              <w:t>T</w:t>
            </w:r>
            <w:r w:rsidR="00AE3D50" w:rsidRPr="008F6127">
              <w:rPr>
                <w:b/>
                <w:color w:val="000000"/>
              </w:rPr>
              <w:t>est Method</w:t>
            </w:r>
          </w:p>
        </w:tc>
      </w:tr>
      <w:tr w:rsidR="00D23B61" w14:paraId="07BB17C0" w14:textId="77777777" w:rsidTr="00D23B61">
        <w:trPr>
          <w:trHeight w:val="288"/>
        </w:trPr>
        <w:tc>
          <w:tcPr>
            <w:tcW w:w="3744" w:type="dxa"/>
            <w:vAlign w:val="center"/>
          </w:tcPr>
          <w:p w14:paraId="00000052" w14:textId="77777777" w:rsidR="00AE2DDC" w:rsidRPr="008F6127" w:rsidRDefault="00C0584F">
            <w:pPr>
              <w:pBdr>
                <w:top w:val="nil"/>
                <w:left w:val="nil"/>
                <w:bottom w:val="nil"/>
                <w:right w:val="nil"/>
                <w:between w:val="nil"/>
              </w:pBdr>
              <w:jc w:val="center"/>
              <w:rPr>
                <w:color w:val="000000"/>
              </w:rPr>
            </w:pPr>
            <w:r w:rsidRPr="008F6127">
              <w:rPr>
                <w:color w:val="000000"/>
              </w:rPr>
              <w:t>Corrected pH</w:t>
            </w:r>
          </w:p>
        </w:tc>
        <w:tc>
          <w:tcPr>
            <w:tcW w:w="3168" w:type="dxa"/>
            <w:vAlign w:val="center"/>
          </w:tcPr>
          <w:p w14:paraId="00000053" w14:textId="77777777" w:rsidR="00AE2DDC" w:rsidRPr="008F6127" w:rsidRDefault="00C0584F">
            <w:pPr>
              <w:pBdr>
                <w:top w:val="nil"/>
                <w:left w:val="nil"/>
                <w:bottom w:val="nil"/>
                <w:right w:val="nil"/>
                <w:between w:val="nil"/>
              </w:pBdr>
              <w:jc w:val="center"/>
              <w:rPr>
                <w:color w:val="000000"/>
              </w:rPr>
            </w:pPr>
            <w:r w:rsidRPr="008F6127">
              <w:rPr>
                <w:color w:val="000000"/>
              </w:rPr>
              <w:t>5.5-6.5</w:t>
            </w:r>
          </w:p>
        </w:tc>
        <w:tc>
          <w:tcPr>
            <w:tcW w:w="2160" w:type="dxa"/>
            <w:vAlign w:val="center"/>
          </w:tcPr>
          <w:p w14:paraId="00000054" w14:textId="77777777" w:rsidR="00AE2DDC" w:rsidRPr="008F6127" w:rsidRDefault="00C0584F">
            <w:pPr>
              <w:pBdr>
                <w:top w:val="nil"/>
                <w:left w:val="nil"/>
                <w:bottom w:val="nil"/>
                <w:right w:val="nil"/>
                <w:between w:val="nil"/>
              </w:pBdr>
              <w:jc w:val="center"/>
              <w:rPr>
                <w:color w:val="000000"/>
              </w:rPr>
            </w:pPr>
            <w:r w:rsidRPr="008F6127">
              <w:rPr>
                <w:color w:val="000000"/>
              </w:rPr>
              <w:t>AASHTO D4972</w:t>
            </w:r>
          </w:p>
        </w:tc>
      </w:tr>
      <w:tr w:rsidR="00D23B61" w14:paraId="2F8AE5C3" w14:textId="77777777" w:rsidTr="00D23B61">
        <w:trPr>
          <w:trHeight w:val="288"/>
        </w:trPr>
        <w:tc>
          <w:tcPr>
            <w:tcW w:w="3744" w:type="dxa"/>
            <w:vAlign w:val="center"/>
          </w:tcPr>
          <w:p w14:paraId="00000055" w14:textId="77777777" w:rsidR="00AE2DDC" w:rsidRPr="008F6127" w:rsidRDefault="00C0584F">
            <w:pPr>
              <w:pBdr>
                <w:top w:val="nil"/>
                <w:left w:val="nil"/>
                <w:bottom w:val="nil"/>
                <w:right w:val="nil"/>
                <w:between w:val="nil"/>
              </w:pBdr>
              <w:jc w:val="center"/>
              <w:rPr>
                <w:color w:val="000000"/>
              </w:rPr>
            </w:pPr>
            <w:r w:rsidRPr="008F6127">
              <w:rPr>
                <w:color w:val="000000"/>
              </w:rPr>
              <w:t>Magnesium</w:t>
            </w:r>
          </w:p>
        </w:tc>
        <w:tc>
          <w:tcPr>
            <w:tcW w:w="3168" w:type="dxa"/>
            <w:vAlign w:val="center"/>
          </w:tcPr>
          <w:p w14:paraId="00000056" w14:textId="77777777" w:rsidR="00AE2DDC" w:rsidRPr="008F6127" w:rsidRDefault="00C0584F">
            <w:pPr>
              <w:pBdr>
                <w:top w:val="nil"/>
                <w:left w:val="nil"/>
                <w:bottom w:val="nil"/>
                <w:right w:val="nil"/>
                <w:between w:val="nil"/>
              </w:pBdr>
              <w:jc w:val="center"/>
              <w:rPr>
                <w:color w:val="000000"/>
              </w:rPr>
            </w:pPr>
            <w:r w:rsidRPr="008F6127">
              <w:rPr>
                <w:color w:val="000000"/>
              </w:rPr>
              <w:t>Minimum 32 ppm</w:t>
            </w:r>
          </w:p>
        </w:tc>
        <w:tc>
          <w:tcPr>
            <w:tcW w:w="2160" w:type="dxa"/>
            <w:vAlign w:val="center"/>
          </w:tcPr>
          <w:p w14:paraId="00000057" w14:textId="77777777" w:rsidR="00AE2DDC" w:rsidRPr="008F6127" w:rsidRDefault="00C0584F">
            <w:pPr>
              <w:pBdr>
                <w:top w:val="nil"/>
                <w:left w:val="nil"/>
                <w:bottom w:val="nil"/>
                <w:right w:val="nil"/>
                <w:between w:val="nil"/>
              </w:pBdr>
              <w:jc w:val="center"/>
              <w:rPr>
                <w:color w:val="000000"/>
              </w:rPr>
            </w:pPr>
            <w:r w:rsidRPr="008F6127">
              <w:rPr>
                <w:color w:val="000000"/>
              </w:rPr>
              <w:t>*</w:t>
            </w:r>
          </w:p>
        </w:tc>
      </w:tr>
      <w:tr w:rsidR="00D23B61" w14:paraId="7E9D287A" w14:textId="77777777" w:rsidTr="00D23B61">
        <w:trPr>
          <w:trHeight w:val="288"/>
        </w:trPr>
        <w:tc>
          <w:tcPr>
            <w:tcW w:w="3744" w:type="dxa"/>
            <w:vAlign w:val="center"/>
          </w:tcPr>
          <w:p w14:paraId="00000059" w14:textId="7B182E53" w:rsidR="00AE2DDC" w:rsidRPr="008F6127" w:rsidRDefault="00C0584F" w:rsidP="005E546B">
            <w:pPr>
              <w:pBdr>
                <w:top w:val="nil"/>
                <w:left w:val="nil"/>
                <w:bottom w:val="nil"/>
                <w:right w:val="nil"/>
                <w:between w:val="nil"/>
              </w:pBdr>
              <w:ind w:hanging="5"/>
              <w:jc w:val="center"/>
              <w:rPr>
                <w:color w:val="000000"/>
              </w:rPr>
            </w:pPr>
            <w:r w:rsidRPr="008F6127">
              <w:rPr>
                <w:color w:val="000000"/>
              </w:rPr>
              <w:t>Phosphorus (Phosphate-P2O5)</w:t>
            </w:r>
          </w:p>
        </w:tc>
        <w:tc>
          <w:tcPr>
            <w:tcW w:w="3168" w:type="dxa"/>
            <w:vAlign w:val="center"/>
          </w:tcPr>
          <w:p w14:paraId="0000005B" w14:textId="0CBEF93D" w:rsidR="00AE2DDC" w:rsidRPr="008F6127" w:rsidRDefault="00C0584F" w:rsidP="005E546B">
            <w:pPr>
              <w:pBdr>
                <w:top w:val="nil"/>
                <w:left w:val="nil"/>
                <w:bottom w:val="nil"/>
                <w:right w:val="nil"/>
                <w:between w:val="nil"/>
              </w:pBdr>
              <w:ind w:left="742" w:hanging="742"/>
              <w:jc w:val="center"/>
              <w:rPr>
                <w:color w:val="000000"/>
              </w:rPr>
            </w:pPr>
            <w:r w:rsidRPr="008F6127">
              <w:rPr>
                <w:color w:val="000000"/>
              </w:rPr>
              <w:t>Not to exceed</w:t>
            </w:r>
            <w:r w:rsidR="005E546B" w:rsidRPr="008F6127">
              <w:rPr>
                <w:color w:val="000000"/>
              </w:rPr>
              <w:t xml:space="preserve"> </w:t>
            </w:r>
            <w:r w:rsidRPr="008F6127">
              <w:rPr>
                <w:color w:val="000000"/>
              </w:rPr>
              <w:t>69 ppm</w:t>
            </w:r>
          </w:p>
        </w:tc>
        <w:tc>
          <w:tcPr>
            <w:tcW w:w="2160" w:type="dxa"/>
            <w:vAlign w:val="center"/>
          </w:tcPr>
          <w:p w14:paraId="0000005C" w14:textId="77777777" w:rsidR="00AE2DDC" w:rsidRPr="008F6127" w:rsidRDefault="00C0584F">
            <w:pPr>
              <w:pBdr>
                <w:top w:val="nil"/>
                <w:left w:val="nil"/>
                <w:bottom w:val="nil"/>
                <w:right w:val="nil"/>
                <w:between w:val="nil"/>
              </w:pBdr>
              <w:jc w:val="center"/>
              <w:rPr>
                <w:color w:val="000000"/>
              </w:rPr>
            </w:pPr>
            <w:r w:rsidRPr="008F6127">
              <w:rPr>
                <w:color w:val="000000"/>
              </w:rPr>
              <w:t>*</w:t>
            </w:r>
          </w:p>
        </w:tc>
      </w:tr>
      <w:tr w:rsidR="00D23B61" w14:paraId="6E26CAD3" w14:textId="77777777" w:rsidTr="00D23B61">
        <w:trPr>
          <w:trHeight w:val="288"/>
        </w:trPr>
        <w:tc>
          <w:tcPr>
            <w:tcW w:w="3744" w:type="dxa"/>
            <w:vAlign w:val="center"/>
          </w:tcPr>
          <w:p w14:paraId="0000005E" w14:textId="203279D9" w:rsidR="00AE2DDC" w:rsidRPr="008F6127" w:rsidRDefault="00C0584F" w:rsidP="005E546B">
            <w:pPr>
              <w:pBdr>
                <w:top w:val="nil"/>
                <w:left w:val="nil"/>
                <w:bottom w:val="nil"/>
                <w:right w:val="nil"/>
                <w:between w:val="nil"/>
              </w:pBdr>
              <w:jc w:val="center"/>
              <w:rPr>
                <w:color w:val="000000"/>
              </w:rPr>
            </w:pPr>
            <w:r w:rsidRPr="008F6127">
              <w:rPr>
                <w:color w:val="000000"/>
              </w:rPr>
              <w:t>Potassium</w:t>
            </w:r>
            <w:r w:rsidR="005E546B" w:rsidRPr="008F6127">
              <w:rPr>
                <w:color w:val="000000"/>
              </w:rPr>
              <w:t xml:space="preserve"> </w:t>
            </w:r>
            <w:r w:rsidRPr="008F6127">
              <w:rPr>
                <w:color w:val="000000"/>
              </w:rPr>
              <w:t>(K2O)</w:t>
            </w:r>
          </w:p>
        </w:tc>
        <w:tc>
          <w:tcPr>
            <w:tcW w:w="3168" w:type="dxa"/>
            <w:vAlign w:val="center"/>
          </w:tcPr>
          <w:p w14:paraId="0000005F" w14:textId="77777777" w:rsidR="00AE2DDC" w:rsidRPr="008F6127" w:rsidRDefault="00C0584F">
            <w:pPr>
              <w:pBdr>
                <w:top w:val="nil"/>
                <w:left w:val="nil"/>
                <w:bottom w:val="nil"/>
                <w:right w:val="nil"/>
                <w:between w:val="nil"/>
              </w:pBdr>
              <w:jc w:val="center"/>
              <w:rPr>
                <w:color w:val="000000"/>
              </w:rPr>
            </w:pPr>
            <w:r w:rsidRPr="008F6127">
              <w:rPr>
                <w:color w:val="000000"/>
              </w:rPr>
              <w:t>Minimum 78 ppm</w:t>
            </w:r>
          </w:p>
        </w:tc>
        <w:tc>
          <w:tcPr>
            <w:tcW w:w="2160" w:type="dxa"/>
            <w:vAlign w:val="center"/>
          </w:tcPr>
          <w:p w14:paraId="00000060" w14:textId="77777777" w:rsidR="00AE2DDC" w:rsidRPr="008F6127" w:rsidRDefault="00C0584F">
            <w:pPr>
              <w:pBdr>
                <w:top w:val="nil"/>
                <w:left w:val="nil"/>
                <w:bottom w:val="nil"/>
                <w:right w:val="nil"/>
                <w:between w:val="nil"/>
              </w:pBdr>
              <w:jc w:val="center"/>
              <w:rPr>
                <w:color w:val="000000"/>
              </w:rPr>
            </w:pPr>
            <w:r w:rsidRPr="008F6127">
              <w:rPr>
                <w:color w:val="000000"/>
              </w:rPr>
              <w:t>*</w:t>
            </w:r>
          </w:p>
        </w:tc>
      </w:tr>
      <w:tr w:rsidR="00D23B61" w14:paraId="61400041" w14:textId="77777777" w:rsidTr="00D23B61">
        <w:trPr>
          <w:trHeight w:val="288"/>
        </w:trPr>
        <w:tc>
          <w:tcPr>
            <w:tcW w:w="3744" w:type="dxa"/>
            <w:vAlign w:val="center"/>
          </w:tcPr>
          <w:p w14:paraId="00000061" w14:textId="77777777" w:rsidR="00AE2DDC" w:rsidRPr="008F6127" w:rsidRDefault="00C0584F">
            <w:pPr>
              <w:pBdr>
                <w:top w:val="nil"/>
                <w:left w:val="nil"/>
                <w:bottom w:val="nil"/>
                <w:right w:val="nil"/>
                <w:between w:val="nil"/>
              </w:pBdr>
              <w:jc w:val="center"/>
              <w:rPr>
                <w:color w:val="000000"/>
              </w:rPr>
            </w:pPr>
            <w:r w:rsidRPr="008F6127">
              <w:rPr>
                <w:color w:val="000000"/>
              </w:rPr>
              <w:t>Soluble Salts</w:t>
            </w:r>
          </w:p>
        </w:tc>
        <w:tc>
          <w:tcPr>
            <w:tcW w:w="3168" w:type="dxa"/>
            <w:vAlign w:val="center"/>
          </w:tcPr>
          <w:p w14:paraId="00000063" w14:textId="7809AC45" w:rsidR="00AE2DDC" w:rsidRPr="008F6127" w:rsidRDefault="00C0584F" w:rsidP="005E546B">
            <w:pPr>
              <w:pBdr>
                <w:top w:val="nil"/>
                <w:left w:val="nil"/>
                <w:bottom w:val="nil"/>
                <w:right w:val="nil"/>
                <w:between w:val="nil"/>
              </w:pBdr>
              <w:ind w:left="742" w:hanging="742"/>
              <w:jc w:val="center"/>
              <w:rPr>
                <w:color w:val="000000"/>
              </w:rPr>
            </w:pPr>
            <w:r w:rsidRPr="008F6127">
              <w:rPr>
                <w:color w:val="000000"/>
              </w:rPr>
              <w:t>Not to exceed</w:t>
            </w:r>
            <w:r w:rsidR="005E546B" w:rsidRPr="008F6127">
              <w:rPr>
                <w:color w:val="000000"/>
              </w:rPr>
              <w:t xml:space="preserve"> </w:t>
            </w:r>
            <w:r w:rsidRPr="008F6127">
              <w:rPr>
                <w:color w:val="000000"/>
              </w:rPr>
              <w:t>500 ppm</w:t>
            </w:r>
          </w:p>
        </w:tc>
        <w:tc>
          <w:tcPr>
            <w:tcW w:w="2160" w:type="dxa"/>
            <w:vAlign w:val="center"/>
          </w:tcPr>
          <w:p w14:paraId="00000064" w14:textId="77777777" w:rsidR="00AE2DDC" w:rsidRPr="008F6127" w:rsidRDefault="00C0584F">
            <w:pPr>
              <w:pBdr>
                <w:top w:val="nil"/>
                <w:left w:val="nil"/>
                <w:bottom w:val="nil"/>
                <w:right w:val="nil"/>
                <w:between w:val="nil"/>
              </w:pBdr>
              <w:jc w:val="center"/>
              <w:rPr>
                <w:color w:val="000000"/>
              </w:rPr>
            </w:pPr>
            <w:r w:rsidRPr="008F6127">
              <w:rPr>
                <w:color w:val="000000"/>
              </w:rPr>
              <w:t>*</w:t>
            </w:r>
          </w:p>
        </w:tc>
      </w:tr>
    </w:tbl>
    <w:p w14:paraId="00000065" w14:textId="77777777" w:rsidR="00AE2DDC" w:rsidRDefault="00C0584F" w:rsidP="007A3CBA">
      <w:pPr>
        <w:pBdr>
          <w:top w:val="nil"/>
          <w:left w:val="nil"/>
          <w:bottom w:val="nil"/>
          <w:right w:val="nil"/>
          <w:between w:val="nil"/>
        </w:pBdr>
        <w:ind w:firstLine="449"/>
        <w:rPr>
          <w:color w:val="000000"/>
          <w:sz w:val="24"/>
          <w:szCs w:val="24"/>
        </w:rPr>
      </w:pPr>
      <w:r>
        <w:rPr>
          <w:color w:val="000000"/>
          <w:sz w:val="24"/>
          <w:szCs w:val="24"/>
        </w:rPr>
        <w:t>*Use soil test procedures authorized by the Engineer.</w:t>
      </w:r>
    </w:p>
    <w:p w14:paraId="00000066" w14:textId="77777777" w:rsidR="00AE2DDC" w:rsidRDefault="00AE2DDC">
      <w:pPr>
        <w:pBdr>
          <w:top w:val="nil"/>
          <w:left w:val="nil"/>
          <w:bottom w:val="nil"/>
          <w:right w:val="nil"/>
          <w:between w:val="nil"/>
        </w:pBdr>
        <w:rPr>
          <w:color w:val="000000"/>
          <w:sz w:val="24"/>
          <w:szCs w:val="24"/>
        </w:rPr>
      </w:pPr>
    </w:p>
    <w:p w14:paraId="00000067" w14:textId="77777777" w:rsidR="00AE2DDC" w:rsidRDefault="00C0584F">
      <w:pPr>
        <w:pBdr>
          <w:top w:val="nil"/>
          <w:left w:val="nil"/>
          <w:bottom w:val="nil"/>
          <w:right w:val="nil"/>
          <w:between w:val="nil"/>
        </w:pBdr>
        <w:tabs>
          <w:tab w:val="left" w:pos="1181"/>
        </w:tabs>
        <w:ind w:left="449"/>
        <w:jc w:val="both"/>
        <w:rPr>
          <w:color w:val="000000"/>
          <w:sz w:val="24"/>
          <w:szCs w:val="24"/>
        </w:rPr>
      </w:pPr>
      <w:r>
        <w:rPr>
          <w:color w:val="000000"/>
          <w:sz w:val="24"/>
          <w:szCs w:val="24"/>
        </w:rPr>
        <w:t>Should the pH fall outside of the acceptable range, the Bioretention Soil may be modified with lime (to raise) or iron sulfate plus sulfur (to lower). The lime or iron sulfate must be mixed uniformly into the Bioretention Soil prior to use in bioretention facilities.</w:t>
      </w:r>
    </w:p>
    <w:p w14:paraId="00000068" w14:textId="77777777" w:rsidR="00AE2DDC" w:rsidRDefault="00AE2DDC">
      <w:pPr>
        <w:pBdr>
          <w:top w:val="nil"/>
          <w:left w:val="nil"/>
          <w:bottom w:val="nil"/>
          <w:right w:val="nil"/>
          <w:between w:val="nil"/>
        </w:pBdr>
        <w:tabs>
          <w:tab w:val="left" w:pos="1181"/>
        </w:tabs>
        <w:ind w:left="449"/>
        <w:jc w:val="both"/>
        <w:rPr>
          <w:color w:val="000000"/>
          <w:sz w:val="24"/>
          <w:szCs w:val="24"/>
        </w:rPr>
      </w:pPr>
    </w:p>
    <w:p w14:paraId="00000069" w14:textId="77777777" w:rsidR="00AE2DDC" w:rsidRDefault="00C0584F">
      <w:pPr>
        <w:pBdr>
          <w:top w:val="nil"/>
          <w:left w:val="nil"/>
          <w:bottom w:val="nil"/>
          <w:right w:val="nil"/>
          <w:between w:val="nil"/>
        </w:pBdr>
        <w:tabs>
          <w:tab w:val="left" w:pos="1181"/>
        </w:tabs>
        <w:ind w:left="449"/>
        <w:jc w:val="both"/>
        <w:rPr>
          <w:color w:val="000000"/>
          <w:sz w:val="24"/>
          <w:szCs w:val="24"/>
        </w:rPr>
      </w:pPr>
      <w:r>
        <w:rPr>
          <w:color w:val="000000"/>
          <w:sz w:val="24"/>
          <w:szCs w:val="24"/>
        </w:rPr>
        <w:t>Should the Bioretention Soil not meet the minimum requirement for magnesium, it may be modified with magnesium sulfate. Likewise, should the Bioretention Soil not meet the minimum requirement for potassium, it may be modified with potash. Magnesium sulfate and potash must be mixed uniformly into the Bioretention Soil prior to use in bioretention facilities.</w:t>
      </w:r>
    </w:p>
    <w:p w14:paraId="0000006A" w14:textId="77777777" w:rsidR="00AE2DDC" w:rsidRDefault="00AE2DDC">
      <w:pPr>
        <w:pBdr>
          <w:top w:val="nil"/>
          <w:left w:val="nil"/>
          <w:bottom w:val="nil"/>
          <w:right w:val="nil"/>
          <w:between w:val="nil"/>
        </w:pBdr>
        <w:tabs>
          <w:tab w:val="left" w:pos="1181"/>
        </w:tabs>
        <w:ind w:left="449"/>
        <w:jc w:val="both"/>
        <w:rPr>
          <w:color w:val="000000"/>
          <w:sz w:val="24"/>
          <w:szCs w:val="24"/>
        </w:rPr>
      </w:pPr>
    </w:p>
    <w:p w14:paraId="0000006B" w14:textId="77777777" w:rsidR="00AE2DDC" w:rsidRDefault="00C0584F">
      <w:pPr>
        <w:pBdr>
          <w:top w:val="nil"/>
          <w:left w:val="nil"/>
          <w:bottom w:val="nil"/>
          <w:right w:val="nil"/>
          <w:between w:val="nil"/>
        </w:pBdr>
        <w:tabs>
          <w:tab w:val="left" w:pos="1181"/>
        </w:tabs>
        <w:ind w:left="449"/>
        <w:jc w:val="both"/>
        <w:rPr>
          <w:color w:val="000000"/>
          <w:sz w:val="24"/>
          <w:szCs w:val="24"/>
        </w:rPr>
      </w:pPr>
      <w:r>
        <w:rPr>
          <w:color w:val="000000"/>
          <w:sz w:val="24"/>
          <w:szCs w:val="24"/>
        </w:rPr>
        <w:t>Bioretention Soil that fails to meet the minimum requirements shall be replaced at no additional cost to the City. Mixing of the corrective additives to the Bioretention Soil is incidental and shall be at no additional cost to the City.</w:t>
      </w:r>
    </w:p>
    <w:p w14:paraId="0000006C" w14:textId="77777777" w:rsidR="00AE2DDC" w:rsidRDefault="00AE2DDC">
      <w:pPr>
        <w:pBdr>
          <w:top w:val="nil"/>
          <w:left w:val="nil"/>
          <w:bottom w:val="nil"/>
          <w:right w:val="nil"/>
          <w:between w:val="nil"/>
        </w:pBdr>
        <w:tabs>
          <w:tab w:val="left" w:pos="1181"/>
        </w:tabs>
        <w:ind w:left="449"/>
        <w:jc w:val="both"/>
        <w:rPr>
          <w:color w:val="000000"/>
          <w:sz w:val="24"/>
          <w:szCs w:val="24"/>
        </w:rPr>
      </w:pPr>
    </w:p>
    <w:p w14:paraId="0000006D" w14:textId="77777777" w:rsidR="00AE2DDC" w:rsidRDefault="00C0584F">
      <w:pPr>
        <w:pBdr>
          <w:top w:val="nil"/>
          <w:left w:val="nil"/>
          <w:bottom w:val="nil"/>
          <w:right w:val="nil"/>
          <w:between w:val="nil"/>
        </w:pBdr>
        <w:tabs>
          <w:tab w:val="left" w:pos="1181"/>
        </w:tabs>
        <w:ind w:left="450"/>
        <w:jc w:val="both"/>
        <w:rPr>
          <w:color w:val="000000"/>
          <w:sz w:val="24"/>
          <w:szCs w:val="24"/>
        </w:rPr>
      </w:pPr>
      <w:r>
        <w:rPr>
          <w:color w:val="000000"/>
          <w:sz w:val="24"/>
          <w:szCs w:val="24"/>
        </w:rPr>
        <w:t>Mixing of the Bioretention Soil to a homogeneous consistency shall be done to the satisfaction of the Engineer. Upon approval of all requirements and testing, the Bioretention Soil shall be stockpiled, and no material shall be added to the Bioretention Soil in the stockpile or during transport to the bioretention basin. If the Bioretention Soil stockpiles are not placed in the bioretention basin within 30 days from the time of the testing, then the stockpile shall be retested. If the Bioretention Soil no longer meets the requirements indicated above, then the Contractor shall provide the necessary additives to bring the soil back into compliance.</w:t>
      </w:r>
    </w:p>
    <w:p w14:paraId="0000006E" w14:textId="77777777" w:rsidR="00AE2DDC" w:rsidRDefault="00AE2DDC">
      <w:pPr>
        <w:pBdr>
          <w:top w:val="nil"/>
          <w:left w:val="nil"/>
          <w:bottom w:val="nil"/>
          <w:right w:val="nil"/>
          <w:between w:val="nil"/>
        </w:pBdr>
        <w:rPr>
          <w:color w:val="000000"/>
          <w:sz w:val="24"/>
          <w:szCs w:val="24"/>
          <w:u w:val="single"/>
        </w:rPr>
      </w:pPr>
    </w:p>
    <w:p w14:paraId="0000006F" w14:textId="77777777" w:rsidR="00AE2DDC" w:rsidRDefault="00C0584F">
      <w:pPr>
        <w:pBdr>
          <w:top w:val="nil"/>
          <w:left w:val="nil"/>
          <w:bottom w:val="nil"/>
          <w:right w:val="nil"/>
          <w:between w:val="nil"/>
        </w:pBdr>
        <w:rPr>
          <w:color w:val="000000"/>
          <w:sz w:val="24"/>
          <w:szCs w:val="24"/>
        </w:rPr>
      </w:pPr>
      <w:r>
        <w:rPr>
          <w:color w:val="000000"/>
          <w:sz w:val="24"/>
          <w:szCs w:val="24"/>
          <w:u w:val="single"/>
        </w:rPr>
        <w:t>SUBMITTALS:</w:t>
      </w:r>
    </w:p>
    <w:p w14:paraId="00000070" w14:textId="77777777" w:rsidR="00AE2DDC" w:rsidRDefault="00AE2DDC">
      <w:pPr>
        <w:pBdr>
          <w:top w:val="nil"/>
          <w:left w:val="nil"/>
          <w:bottom w:val="nil"/>
          <w:right w:val="nil"/>
          <w:between w:val="nil"/>
        </w:pBdr>
        <w:rPr>
          <w:color w:val="000000"/>
          <w:sz w:val="24"/>
          <w:szCs w:val="24"/>
        </w:rPr>
      </w:pPr>
    </w:p>
    <w:p w14:paraId="00000071" w14:textId="39B8ED29" w:rsidR="00AE2DDC" w:rsidRDefault="00C0584F">
      <w:pPr>
        <w:pBdr>
          <w:top w:val="nil"/>
          <w:left w:val="nil"/>
          <w:bottom w:val="nil"/>
          <w:right w:val="nil"/>
          <w:between w:val="nil"/>
        </w:pBdr>
        <w:jc w:val="both"/>
        <w:rPr>
          <w:color w:val="000000"/>
          <w:sz w:val="24"/>
          <w:szCs w:val="24"/>
        </w:rPr>
      </w:pPr>
      <w:r>
        <w:rPr>
          <w:color w:val="000000"/>
          <w:sz w:val="24"/>
          <w:szCs w:val="24"/>
        </w:rPr>
        <w:t xml:space="preserve">The </w:t>
      </w:r>
      <w:r w:rsidR="003238AB">
        <w:rPr>
          <w:color w:val="000000"/>
          <w:sz w:val="24"/>
          <w:szCs w:val="24"/>
        </w:rPr>
        <w:t xml:space="preserve">Contractor </w:t>
      </w:r>
      <w:r>
        <w:rPr>
          <w:color w:val="000000"/>
          <w:sz w:val="24"/>
          <w:szCs w:val="24"/>
        </w:rPr>
        <w:t xml:space="preserve">shall submit test results to the Engineer indicating the results and conformance of the characteristics of the materials used in the bioretention soils to be supplied to the project for review a maximum of 30 days prior to delivery of material to the site. No materials shall be purchased until the required submittals have been reviewed and approved by the Engineer. Approval of test results does not constitute final acceptance. The Engineer reserves the right to reject on or after delivery any material which does not meet the </w:t>
      </w:r>
      <w:r w:rsidR="006D0869">
        <w:rPr>
          <w:color w:val="000000"/>
          <w:sz w:val="24"/>
          <w:szCs w:val="24"/>
        </w:rPr>
        <w:t>Specifications</w:t>
      </w:r>
      <w:r>
        <w:rPr>
          <w:color w:val="000000"/>
          <w:sz w:val="24"/>
          <w:szCs w:val="24"/>
        </w:rPr>
        <w:t>.</w:t>
      </w:r>
    </w:p>
    <w:p w14:paraId="00000072" w14:textId="77777777" w:rsidR="00AE2DDC" w:rsidRDefault="00AE2DDC">
      <w:pPr>
        <w:pBdr>
          <w:top w:val="nil"/>
          <w:left w:val="nil"/>
          <w:bottom w:val="nil"/>
          <w:right w:val="nil"/>
          <w:between w:val="nil"/>
        </w:pBdr>
        <w:rPr>
          <w:color w:val="000000"/>
          <w:sz w:val="24"/>
          <w:szCs w:val="24"/>
        </w:rPr>
      </w:pPr>
    </w:p>
    <w:p w14:paraId="00000073" w14:textId="77777777" w:rsidR="00AE2DDC" w:rsidRDefault="00C0584F">
      <w:pPr>
        <w:tabs>
          <w:tab w:val="left" w:pos="821"/>
        </w:tabs>
        <w:rPr>
          <w:sz w:val="24"/>
          <w:szCs w:val="24"/>
        </w:rPr>
      </w:pPr>
      <w:r>
        <w:rPr>
          <w:sz w:val="24"/>
          <w:szCs w:val="24"/>
        </w:rPr>
        <w:t>Bioretention Soil Mix: Submit manufacturer's product data.</w:t>
      </w:r>
    </w:p>
    <w:p w14:paraId="00000074" w14:textId="77777777" w:rsidR="00AE2DDC" w:rsidRDefault="00AE2DDC">
      <w:pPr>
        <w:tabs>
          <w:tab w:val="left" w:pos="821"/>
        </w:tabs>
        <w:rPr>
          <w:sz w:val="24"/>
          <w:szCs w:val="24"/>
        </w:rPr>
      </w:pPr>
    </w:p>
    <w:p w14:paraId="00000075" w14:textId="77777777" w:rsidR="00AE2DDC" w:rsidRDefault="00C0584F">
      <w:pPr>
        <w:tabs>
          <w:tab w:val="left" w:pos="821"/>
        </w:tabs>
        <w:rPr>
          <w:sz w:val="24"/>
          <w:szCs w:val="24"/>
        </w:rPr>
      </w:pPr>
      <w:r>
        <w:rPr>
          <w:sz w:val="24"/>
          <w:szCs w:val="24"/>
        </w:rPr>
        <w:t>Bioretention Soil infiltration test results.</w:t>
      </w:r>
    </w:p>
    <w:p w14:paraId="00000076" w14:textId="77777777" w:rsidR="00AE2DDC" w:rsidRDefault="00AE2DDC">
      <w:pPr>
        <w:pBdr>
          <w:top w:val="nil"/>
          <w:left w:val="nil"/>
          <w:bottom w:val="nil"/>
          <w:right w:val="nil"/>
          <w:between w:val="nil"/>
        </w:pBdr>
        <w:rPr>
          <w:color w:val="000000"/>
          <w:sz w:val="24"/>
          <w:szCs w:val="24"/>
        </w:rPr>
      </w:pPr>
    </w:p>
    <w:p w14:paraId="00000077" w14:textId="77777777" w:rsidR="00AE2DDC" w:rsidRDefault="00C0584F">
      <w:pPr>
        <w:pBdr>
          <w:top w:val="nil"/>
          <w:left w:val="nil"/>
          <w:bottom w:val="nil"/>
          <w:right w:val="nil"/>
          <w:between w:val="nil"/>
        </w:pBdr>
        <w:jc w:val="both"/>
        <w:rPr>
          <w:color w:val="000000"/>
          <w:sz w:val="24"/>
          <w:szCs w:val="24"/>
        </w:rPr>
      </w:pPr>
      <w:r>
        <w:rPr>
          <w:color w:val="000000"/>
          <w:sz w:val="24"/>
          <w:szCs w:val="24"/>
          <w:u w:val="single"/>
        </w:rPr>
        <w:t>Installation:</w:t>
      </w:r>
    </w:p>
    <w:p w14:paraId="00000078" w14:textId="77777777" w:rsidR="00AE2DDC" w:rsidRDefault="00AE2DDC">
      <w:pPr>
        <w:pBdr>
          <w:top w:val="nil"/>
          <w:left w:val="nil"/>
          <w:bottom w:val="nil"/>
          <w:right w:val="nil"/>
          <w:between w:val="nil"/>
        </w:pBdr>
        <w:jc w:val="both"/>
        <w:rPr>
          <w:color w:val="000000"/>
          <w:sz w:val="24"/>
          <w:szCs w:val="24"/>
        </w:rPr>
      </w:pPr>
    </w:p>
    <w:p w14:paraId="00000079" w14:textId="4363AD88" w:rsidR="00AE2DDC" w:rsidRDefault="00C0584F">
      <w:pPr>
        <w:pBdr>
          <w:top w:val="nil"/>
          <w:left w:val="nil"/>
          <w:bottom w:val="nil"/>
          <w:right w:val="nil"/>
          <w:between w:val="nil"/>
        </w:pBdr>
        <w:jc w:val="both"/>
        <w:rPr>
          <w:color w:val="000000"/>
          <w:sz w:val="24"/>
          <w:szCs w:val="24"/>
        </w:rPr>
      </w:pPr>
      <w:r>
        <w:rPr>
          <w:color w:val="000000"/>
          <w:sz w:val="24"/>
          <w:szCs w:val="24"/>
        </w:rPr>
        <w:t xml:space="preserve">Where noted on the </w:t>
      </w:r>
      <w:r w:rsidR="003238AB">
        <w:rPr>
          <w:color w:val="000000"/>
          <w:sz w:val="24"/>
          <w:szCs w:val="24"/>
        </w:rPr>
        <w:t>Plans</w:t>
      </w:r>
      <w:r>
        <w:rPr>
          <w:color w:val="000000"/>
          <w:sz w:val="24"/>
          <w:szCs w:val="24"/>
        </w:rPr>
        <w:t xml:space="preserve"> and details, subgrade below the bioretention soil shall be </w:t>
      </w:r>
      <w:proofErr w:type="spellStart"/>
      <w:r>
        <w:rPr>
          <w:color w:val="000000"/>
          <w:sz w:val="24"/>
          <w:szCs w:val="24"/>
        </w:rPr>
        <w:t>decompacted</w:t>
      </w:r>
      <w:proofErr w:type="spellEnd"/>
      <w:r>
        <w:rPr>
          <w:color w:val="000000"/>
          <w:sz w:val="24"/>
          <w:szCs w:val="24"/>
        </w:rPr>
        <w:t xml:space="preserve"> to a minimum depth of </w:t>
      </w:r>
      <w:r w:rsidR="00D748D6">
        <w:rPr>
          <w:color w:val="000000"/>
          <w:sz w:val="24"/>
          <w:szCs w:val="24"/>
        </w:rPr>
        <w:t>6</w:t>
      </w:r>
      <w:r>
        <w:rPr>
          <w:color w:val="000000"/>
          <w:sz w:val="24"/>
          <w:szCs w:val="24"/>
        </w:rPr>
        <w:t>”</w:t>
      </w:r>
      <w:r w:rsidR="00D748D6">
        <w:rPr>
          <w:color w:val="000000"/>
          <w:sz w:val="24"/>
          <w:szCs w:val="24"/>
        </w:rPr>
        <w:t xml:space="preserve"> </w:t>
      </w:r>
      <w:r w:rsidR="00D748D6">
        <w:rPr>
          <w:sz w:val="24"/>
          <w:szCs w:val="24"/>
        </w:rPr>
        <w:t>(or as directed by the Engineer)</w:t>
      </w:r>
      <w:r>
        <w:rPr>
          <w:color w:val="000000"/>
          <w:sz w:val="24"/>
          <w:szCs w:val="24"/>
        </w:rPr>
        <w:t xml:space="preserve"> before installation</w:t>
      </w:r>
      <w:r w:rsidR="00FC0B15">
        <w:rPr>
          <w:color w:val="000000"/>
          <w:sz w:val="24"/>
          <w:szCs w:val="24"/>
        </w:rPr>
        <w:t xml:space="preserve"> of bioretention soil</w:t>
      </w:r>
      <w:r>
        <w:rPr>
          <w:color w:val="000000"/>
          <w:sz w:val="24"/>
          <w:szCs w:val="24"/>
        </w:rPr>
        <w:t>.</w:t>
      </w:r>
    </w:p>
    <w:p w14:paraId="0000007A" w14:textId="77777777" w:rsidR="00AE2DDC" w:rsidRDefault="00AE2DDC">
      <w:pPr>
        <w:pBdr>
          <w:top w:val="nil"/>
          <w:left w:val="nil"/>
          <w:bottom w:val="nil"/>
          <w:right w:val="nil"/>
          <w:between w:val="nil"/>
        </w:pBdr>
        <w:jc w:val="both"/>
        <w:rPr>
          <w:color w:val="000000"/>
          <w:sz w:val="24"/>
          <w:szCs w:val="24"/>
        </w:rPr>
      </w:pPr>
    </w:p>
    <w:p w14:paraId="0000007B" w14:textId="15236252" w:rsidR="00AE2DDC" w:rsidRDefault="00C0584F">
      <w:pPr>
        <w:pBdr>
          <w:top w:val="nil"/>
          <w:left w:val="nil"/>
          <w:bottom w:val="nil"/>
          <w:right w:val="nil"/>
          <w:between w:val="nil"/>
        </w:pBdr>
        <w:jc w:val="both"/>
        <w:rPr>
          <w:color w:val="000000"/>
          <w:sz w:val="24"/>
          <w:szCs w:val="24"/>
        </w:rPr>
      </w:pPr>
      <w:r>
        <w:rPr>
          <w:color w:val="000000"/>
          <w:sz w:val="24"/>
          <w:szCs w:val="24"/>
        </w:rPr>
        <w:t>Bioretention soil shall be place</w:t>
      </w:r>
      <w:r w:rsidR="00FC0B15">
        <w:rPr>
          <w:color w:val="000000"/>
          <w:sz w:val="24"/>
          <w:szCs w:val="24"/>
        </w:rPr>
        <w:t>d</w:t>
      </w:r>
      <w:r>
        <w:rPr>
          <w:color w:val="000000"/>
          <w:sz w:val="24"/>
          <w:szCs w:val="24"/>
        </w:rPr>
        <w:t xml:space="preserve"> in six-inch lifts</w:t>
      </w:r>
      <w:r w:rsidR="00B66CFE">
        <w:rPr>
          <w:color w:val="000000"/>
          <w:sz w:val="24"/>
          <w:szCs w:val="24"/>
        </w:rPr>
        <w:t xml:space="preserve">. </w:t>
      </w:r>
      <w:r w:rsidR="00FC0B15">
        <w:rPr>
          <w:color w:val="000000"/>
          <w:sz w:val="24"/>
          <w:szCs w:val="24"/>
        </w:rPr>
        <w:t>B</w:t>
      </w:r>
      <w:r>
        <w:rPr>
          <w:color w:val="000000"/>
          <w:sz w:val="24"/>
          <w:szCs w:val="24"/>
        </w:rPr>
        <w:t xml:space="preserve">ioretention soil may need to be </w:t>
      </w:r>
      <w:r w:rsidR="00FC0B15">
        <w:rPr>
          <w:color w:val="000000"/>
          <w:sz w:val="24"/>
          <w:szCs w:val="24"/>
        </w:rPr>
        <w:t xml:space="preserve">installed </w:t>
      </w:r>
      <w:r>
        <w:rPr>
          <w:color w:val="000000"/>
          <w:sz w:val="24"/>
          <w:szCs w:val="24"/>
        </w:rPr>
        <w:t xml:space="preserve">with hand equipment and should not disturb the underlying stone layers or compact the previously </w:t>
      </w:r>
      <w:proofErr w:type="spellStart"/>
      <w:r>
        <w:rPr>
          <w:color w:val="000000"/>
          <w:sz w:val="24"/>
          <w:szCs w:val="24"/>
        </w:rPr>
        <w:t>decompacted</w:t>
      </w:r>
      <w:proofErr w:type="spellEnd"/>
      <w:r>
        <w:rPr>
          <w:color w:val="000000"/>
          <w:sz w:val="24"/>
          <w:szCs w:val="24"/>
        </w:rPr>
        <w:t xml:space="preserve"> soil.</w:t>
      </w:r>
    </w:p>
    <w:p w14:paraId="0000007C" w14:textId="77777777" w:rsidR="00AE2DDC" w:rsidRDefault="00AE2DDC">
      <w:pPr>
        <w:pBdr>
          <w:top w:val="nil"/>
          <w:left w:val="nil"/>
          <w:bottom w:val="nil"/>
          <w:right w:val="nil"/>
          <w:between w:val="nil"/>
        </w:pBdr>
        <w:rPr>
          <w:color w:val="000000"/>
          <w:sz w:val="24"/>
          <w:szCs w:val="24"/>
        </w:rPr>
      </w:pPr>
    </w:p>
    <w:p w14:paraId="0000007D" w14:textId="77777777" w:rsidR="00AE2DDC" w:rsidRDefault="00C0584F">
      <w:pPr>
        <w:pBdr>
          <w:top w:val="nil"/>
          <w:left w:val="nil"/>
          <w:bottom w:val="nil"/>
          <w:right w:val="nil"/>
          <w:between w:val="nil"/>
        </w:pBdr>
        <w:rPr>
          <w:color w:val="000000"/>
          <w:sz w:val="24"/>
          <w:szCs w:val="24"/>
        </w:rPr>
      </w:pPr>
      <w:r>
        <w:rPr>
          <w:color w:val="000000"/>
          <w:sz w:val="24"/>
          <w:szCs w:val="24"/>
        </w:rPr>
        <w:t>Do not work the soil when it is too moist or frozen. If the soil smears when worked, it is too moist.</w:t>
      </w:r>
    </w:p>
    <w:p w14:paraId="0000007E" w14:textId="77777777" w:rsidR="00AE2DDC" w:rsidRDefault="00AE2DDC">
      <w:pPr>
        <w:pBdr>
          <w:top w:val="nil"/>
          <w:left w:val="nil"/>
          <w:bottom w:val="nil"/>
          <w:right w:val="nil"/>
          <w:between w:val="nil"/>
        </w:pBdr>
        <w:rPr>
          <w:color w:val="000000"/>
          <w:sz w:val="24"/>
          <w:szCs w:val="24"/>
        </w:rPr>
      </w:pPr>
    </w:p>
    <w:p w14:paraId="0000007F" w14:textId="151FB5CB" w:rsidR="00AE2DDC" w:rsidRDefault="00C0584F">
      <w:pPr>
        <w:pBdr>
          <w:top w:val="nil"/>
          <w:left w:val="nil"/>
          <w:bottom w:val="nil"/>
          <w:right w:val="nil"/>
          <w:between w:val="nil"/>
        </w:pBdr>
        <w:jc w:val="both"/>
        <w:rPr>
          <w:color w:val="000000"/>
          <w:sz w:val="24"/>
          <w:szCs w:val="24"/>
        </w:rPr>
      </w:pPr>
      <w:r>
        <w:rPr>
          <w:color w:val="000000"/>
          <w:sz w:val="24"/>
          <w:szCs w:val="24"/>
        </w:rPr>
        <w:t xml:space="preserve">The finished grade of the bioretention soil shall match the lines and grades as shown on the </w:t>
      </w:r>
      <w:r w:rsidR="003238AB">
        <w:rPr>
          <w:color w:val="000000"/>
          <w:sz w:val="24"/>
          <w:szCs w:val="24"/>
        </w:rPr>
        <w:t>Plans</w:t>
      </w:r>
      <w:r>
        <w:rPr>
          <w:color w:val="000000"/>
          <w:sz w:val="24"/>
          <w:szCs w:val="24"/>
        </w:rPr>
        <w:t xml:space="preserve"> to within 2 inches. The </w:t>
      </w:r>
      <w:r w:rsidR="003238AB">
        <w:rPr>
          <w:color w:val="000000"/>
          <w:sz w:val="24"/>
          <w:szCs w:val="24"/>
        </w:rPr>
        <w:t xml:space="preserve">Contractor </w:t>
      </w:r>
      <w:r>
        <w:rPr>
          <w:color w:val="000000"/>
          <w:sz w:val="24"/>
          <w:szCs w:val="24"/>
        </w:rPr>
        <w:t xml:space="preserve">is responsible for maintaining the proposed grading until the area is planted and accepted. </w:t>
      </w:r>
      <w:sdt>
        <w:sdtPr>
          <w:tag w:val="goog_rdk_4"/>
          <w:id w:val="-1986460616"/>
        </w:sdtPr>
        <w:sdtEndPr/>
        <w:sdtContent/>
      </w:sdt>
      <w:r>
        <w:rPr>
          <w:color w:val="000000"/>
          <w:sz w:val="24"/>
          <w:szCs w:val="24"/>
        </w:rPr>
        <w:t xml:space="preserve">Any regrading or reshaping required prior to final acceptance shall be done by the Contractor at no additional cost to the City. </w:t>
      </w:r>
    </w:p>
    <w:p w14:paraId="56A9A429" w14:textId="77777777" w:rsidR="00C0584F" w:rsidRDefault="00C0584F">
      <w:pPr>
        <w:pBdr>
          <w:top w:val="nil"/>
          <w:left w:val="nil"/>
          <w:bottom w:val="nil"/>
          <w:right w:val="nil"/>
          <w:between w:val="nil"/>
        </w:pBdr>
        <w:jc w:val="both"/>
        <w:rPr>
          <w:color w:val="000000"/>
          <w:sz w:val="24"/>
          <w:szCs w:val="24"/>
        </w:rPr>
      </w:pPr>
    </w:p>
    <w:p w14:paraId="30762693" w14:textId="32DB7AB1" w:rsidR="00C0584F" w:rsidRDefault="009842F9">
      <w:pPr>
        <w:pBdr>
          <w:top w:val="nil"/>
          <w:left w:val="nil"/>
          <w:bottom w:val="nil"/>
          <w:right w:val="nil"/>
          <w:between w:val="nil"/>
        </w:pBdr>
        <w:jc w:val="both"/>
        <w:rPr>
          <w:color w:val="000000"/>
          <w:sz w:val="24"/>
          <w:szCs w:val="24"/>
        </w:rPr>
      </w:pPr>
      <w:r>
        <w:rPr>
          <w:color w:val="000000"/>
          <w:sz w:val="24"/>
          <w:szCs w:val="24"/>
        </w:rPr>
        <w:t>Infiltration</w:t>
      </w:r>
      <w:r w:rsidR="00C0584F" w:rsidRPr="00B01043">
        <w:rPr>
          <w:color w:val="000000"/>
          <w:sz w:val="24"/>
          <w:szCs w:val="24"/>
        </w:rPr>
        <w:t xml:space="preserve"> testing shall be performed </w:t>
      </w:r>
      <w:r w:rsidR="00EC292E" w:rsidRPr="00B01043">
        <w:rPr>
          <w:color w:val="000000"/>
          <w:sz w:val="24"/>
          <w:szCs w:val="24"/>
        </w:rPr>
        <w:t xml:space="preserve">at a rate of one (1) test per bioretention soil area or one (1) test </w:t>
      </w:r>
      <w:r w:rsidR="00C0584F" w:rsidRPr="00B01043">
        <w:rPr>
          <w:color w:val="000000"/>
          <w:sz w:val="24"/>
          <w:szCs w:val="24"/>
        </w:rPr>
        <w:t>for every 5,000 square feet of bioretention soil area</w:t>
      </w:r>
      <w:r w:rsidR="00EC292E" w:rsidRPr="00B01043">
        <w:rPr>
          <w:color w:val="000000"/>
          <w:sz w:val="24"/>
          <w:szCs w:val="24"/>
        </w:rPr>
        <w:t>, whichever is greater</w:t>
      </w:r>
      <w:r w:rsidR="00C0584F" w:rsidRPr="00B01043">
        <w:rPr>
          <w:color w:val="000000"/>
          <w:sz w:val="24"/>
          <w:szCs w:val="24"/>
        </w:rPr>
        <w:t xml:space="preserve">. Test results </w:t>
      </w:r>
      <w:r w:rsidR="00FC0B15" w:rsidRPr="00B01043">
        <w:rPr>
          <w:color w:val="000000"/>
          <w:sz w:val="24"/>
          <w:szCs w:val="24"/>
        </w:rPr>
        <w:t>sha</w:t>
      </w:r>
      <w:r w:rsidR="00C0584F" w:rsidRPr="00B01043">
        <w:rPr>
          <w:color w:val="000000"/>
          <w:sz w:val="24"/>
          <w:szCs w:val="24"/>
        </w:rPr>
        <w:t>ll be submitted to the Engineer.</w:t>
      </w:r>
    </w:p>
    <w:p w14:paraId="00000080" w14:textId="77777777" w:rsidR="00AE2DDC" w:rsidRDefault="00AE2DDC">
      <w:pPr>
        <w:pBdr>
          <w:top w:val="nil"/>
          <w:left w:val="nil"/>
          <w:bottom w:val="nil"/>
          <w:right w:val="nil"/>
          <w:between w:val="nil"/>
        </w:pBdr>
        <w:rPr>
          <w:color w:val="000000"/>
          <w:sz w:val="24"/>
          <w:szCs w:val="24"/>
        </w:rPr>
      </w:pPr>
    </w:p>
    <w:p w14:paraId="00000081" w14:textId="77777777" w:rsidR="00AE2DDC" w:rsidRDefault="00C0584F">
      <w:pPr>
        <w:pBdr>
          <w:top w:val="nil"/>
          <w:left w:val="nil"/>
          <w:bottom w:val="nil"/>
          <w:right w:val="nil"/>
          <w:between w:val="nil"/>
        </w:pBdr>
        <w:rPr>
          <w:color w:val="000000"/>
          <w:sz w:val="24"/>
          <w:szCs w:val="24"/>
        </w:rPr>
      </w:pPr>
      <w:r>
        <w:rPr>
          <w:color w:val="000000"/>
          <w:sz w:val="24"/>
          <w:szCs w:val="24"/>
          <w:u w:val="single"/>
        </w:rPr>
        <w:t xml:space="preserve">METHOD OF MEASUREMENT </w:t>
      </w:r>
    </w:p>
    <w:p w14:paraId="00000082" w14:textId="77777777" w:rsidR="00AE2DDC" w:rsidRDefault="00AE2DDC">
      <w:pPr>
        <w:pBdr>
          <w:top w:val="nil"/>
          <w:left w:val="nil"/>
          <w:bottom w:val="nil"/>
          <w:right w:val="nil"/>
          <w:between w:val="nil"/>
        </w:pBdr>
        <w:rPr>
          <w:color w:val="000000"/>
          <w:sz w:val="24"/>
          <w:szCs w:val="24"/>
        </w:rPr>
      </w:pPr>
    </w:p>
    <w:p w14:paraId="00000083" w14:textId="0654DA0A" w:rsidR="00AE2DDC" w:rsidRDefault="00C0584F">
      <w:pPr>
        <w:tabs>
          <w:tab w:val="left" w:pos="720"/>
          <w:tab w:val="right" w:pos="9360"/>
          <w:tab w:val="left" w:pos="10159"/>
        </w:tabs>
        <w:jc w:val="both"/>
      </w:pPr>
      <w:r>
        <w:rPr>
          <w:sz w:val="24"/>
          <w:szCs w:val="24"/>
        </w:rPr>
        <w:t xml:space="preserve">Bioretention Soil will be measured </w:t>
      </w:r>
      <w:r w:rsidR="00C62315">
        <w:rPr>
          <w:sz w:val="24"/>
          <w:szCs w:val="24"/>
        </w:rPr>
        <w:t xml:space="preserve">for payment </w:t>
      </w:r>
      <w:r>
        <w:rPr>
          <w:sz w:val="24"/>
          <w:szCs w:val="24"/>
        </w:rPr>
        <w:t>by the cubic yard, complete in place</w:t>
      </w:r>
      <w:r w:rsidR="00C62315">
        <w:rPr>
          <w:sz w:val="24"/>
          <w:szCs w:val="24"/>
        </w:rPr>
        <w:t>,</w:t>
      </w:r>
      <w:r>
        <w:rPr>
          <w:sz w:val="24"/>
          <w:szCs w:val="24"/>
        </w:rPr>
        <w:t xml:space="preserve"> to the depth specified on the </w:t>
      </w:r>
      <w:r w:rsidR="003238AB">
        <w:rPr>
          <w:sz w:val="24"/>
          <w:szCs w:val="24"/>
        </w:rPr>
        <w:t>Plans</w:t>
      </w:r>
      <w:r>
        <w:rPr>
          <w:sz w:val="24"/>
          <w:szCs w:val="24"/>
        </w:rPr>
        <w:t xml:space="preserve"> or as directed</w:t>
      </w:r>
      <w:r w:rsidR="00D16077">
        <w:rPr>
          <w:sz w:val="24"/>
          <w:szCs w:val="24"/>
        </w:rPr>
        <w:t xml:space="preserve"> by the Engineer</w:t>
      </w:r>
      <w:r w:rsidR="00C62315">
        <w:rPr>
          <w:sz w:val="24"/>
          <w:szCs w:val="24"/>
        </w:rPr>
        <w:t>.  N</w:t>
      </w:r>
      <w:r>
        <w:rPr>
          <w:sz w:val="24"/>
          <w:szCs w:val="24"/>
        </w:rPr>
        <w:t xml:space="preserve">o additional compensation </w:t>
      </w:r>
      <w:r w:rsidR="00C62315">
        <w:rPr>
          <w:sz w:val="24"/>
          <w:szCs w:val="24"/>
        </w:rPr>
        <w:t xml:space="preserve">will be made </w:t>
      </w:r>
      <w:r>
        <w:rPr>
          <w:sz w:val="24"/>
          <w:szCs w:val="24"/>
        </w:rPr>
        <w:t>to account for settlement, shrinkage, and penetration into the underlying material.</w:t>
      </w:r>
    </w:p>
    <w:p w14:paraId="00000084" w14:textId="77777777" w:rsidR="00AE2DDC" w:rsidRDefault="00AE2DDC">
      <w:pPr>
        <w:pBdr>
          <w:top w:val="nil"/>
          <w:left w:val="nil"/>
          <w:bottom w:val="nil"/>
          <w:right w:val="nil"/>
          <w:between w:val="nil"/>
        </w:pBdr>
        <w:jc w:val="both"/>
        <w:rPr>
          <w:color w:val="000000"/>
          <w:sz w:val="24"/>
          <w:szCs w:val="24"/>
        </w:rPr>
      </w:pPr>
    </w:p>
    <w:p w14:paraId="00000085" w14:textId="77777777" w:rsidR="00AE2DDC" w:rsidRDefault="00C0584F">
      <w:pPr>
        <w:pBdr>
          <w:top w:val="nil"/>
          <w:left w:val="nil"/>
          <w:bottom w:val="nil"/>
          <w:right w:val="nil"/>
          <w:between w:val="nil"/>
        </w:pBdr>
        <w:jc w:val="both"/>
        <w:rPr>
          <w:color w:val="000000"/>
          <w:sz w:val="24"/>
          <w:szCs w:val="24"/>
          <w:u w:val="single"/>
        </w:rPr>
      </w:pPr>
      <w:r>
        <w:rPr>
          <w:color w:val="000000"/>
          <w:sz w:val="24"/>
          <w:szCs w:val="24"/>
          <w:u w:val="single"/>
        </w:rPr>
        <w:t>BASIS OF PAYMENT</w:t>
      </w:r>
    </w:p>
    <w:p w14:paraId="00000086" w14:textId="77777777" w:rsidR="00AE2DDC" w:rsidRDefault="00AE2DDC">
      <w:pPr>
        <w:tabs>
          <w:tab w:val="left" w:pos="720"/>
          <w:tab w:val="left" w:pos="10159"/>
        </w:tabs>
        <w:jc w:val="both"/>
        <w:rPr>
          <w:sz w:val="24"/>
          <w:szCs w:val="24"/>
        </w:rPr>
      </w:pPr>
    </w:p>
    <w:p w14:paraId="00000087" w14:textId="6FF628AF" w:rsidR="00AE2DDC" w:rsidRDefault="00C0584F">
      <w:pPr>
        <w:tabs>
          <w:tab w:val="left" w:pos="720"/>
          <w:tab w:val="left" w:pos="10159"/>
        </w:tabs>
        <w:jc w:val="both"/>
        <w:rPr>
          <w:sz w:val="24"/>
          <w:szCs w:val="24"/>
        </w:rPr>
      </w:pPr>
      <w:r>
        <w:rPr>
          <w:sz w:val="24"/>
          <w:szCs w:val="24"/>
        </w:rPr>
        <w:t>Bioretention Soil will be paid for at the Contract</w:t>
      </w:r>
      <w:r w:rsidR="0086561D">
        <w:rPr>
          <w:sz w:val="24"/>
          <w:szCs w:val="24"/>
        </w:rPr>
        <w:t xml:space="preserve"> </w:t>
      </w:r>
      <w:r>
        <w:rPr>
          <w:sz w:val="24"/>
          <w:szCs w:val="24"/>
        </w:rPr>
        <w:t xml:space="preserve">unit price per cubic yard, which price shall include all labor, </w:t>
      </w:r>
      <w:r w:rsidR="006C56ED">
        <w:rPr>
          <w:sz w:val="24"/>
          <w:szCs w:val="24"/>
        </w:rPr>
        <w:t>materials</w:t>
      </w:r>
      <w:r>
        <w:rPr>
          <w:sz w:val="24"/>
          <w:szCs w:val="24"/>
        </w:rPr>
        <w:t xml:space="preserve">, </w:t>
      </w:r>
      <w:r w:rsidR="006C56ED">
        <w:rPr>
          <w:sz w:val="24"/>
          <w:szCs w:val="24"/>
        </w:rPr>
        <w:t>equipment, and incidental costs required</w:t>
      </w:r>
      <w:r>
        <w:rPr>
          <w:sz w:val="24"/>
          <w:szCs w:val="24"/>
        </w:rPr>
        <w:t xml:space="preserve"> to complete work</w:t>
      </w:r>
      <w:r w:rsidR="006C56ED">
        <w:rPr>
          <w:sz w:val="24"/>
          <w:szCs w:val="24"/>
        </w:rPr>
        <w:t>.</w:t>
      </w:r>
    </w:p>
    <w:p w14:paraId="13BBD745" w14:textId="1000EEA0" w:rsidR="006C56ED" w:rsidRDefault="006C56ED">
      <w:pPr>
        <w:tabs>
          <w:tab w:val="left" w:pos="720"/>
          <w:tab w:val="left" w:pos="10159"/>
        </w:tabs>
        <w:jc w:val="both"/>
        <w:rPr>
          <w:sz w:val="24"/>
          <w:szCs w:val="24"/>
        </w:rPr>
      </w:pPr>
      <w:r>
        <w:rPr>
          <w:sz w:val="24"/>
          <w:szCs w:val="24"/>
        </w:rPr>
        <w:t>No separate payment will be made for</w:t>
      </w:r>
      <w:r w:rsidR="00975A92">
        <w:rPr>
          <w:sz w:val="24"/>
          <w:szCs w:val="24"/>
        </w:rPr>
        <w:t xml:space="preserve"> soil</w:t>
      </w:r>
      <w:r>
        <w:rPr>
          <w:sz w:val="24"/>
          <w:szCs w:val="24"/>
        </w:rPr>
        <w:t xml:space="preserve"> testing,</w:t>
      </w:r>
      <w:r w:rsidR="00975A92">
        <w:rPr>
          <w:sz w:val="24"/>
          <w:szCs w:val="24"/>
        </w:rPr>
        <w:t xml:space="preserve"> infiltration testing,</w:t>
      </w:r>
      <w:r>
        <w:rPr>
          <w:sz w:val="24"/>
          <w:szCs w:val="24"/>
        </w:rPr>
        <w:t xml:space="preserve"> amending, grading, and decompaction, but all costs in connection therewith shall be included in the Contract unit price bid.</w:t>
      </w:r>
    </w:p>
    <w:sectPr w:rsidR="006C56ED" w:rsidSect="00967CBC">
      <w:pgSz w:w="12240" w:h="15840"/>
      <w:pgMar w:top="1440" w:right="1440" w:bottom="720" w:left="144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DFF4" w14:textId="77777777" w:rsidR="00C0584F" w:rsidRDefault="00C0584F">
      <w:r>
        <w:separator/>
      </w:r>
    </w:p>
  </w:endnote>
  <w:endnote w:type="continuationSeparator" w:id="0">
    <w:p w14:paraId="7723C18B" w14:textId="77777777" w:rsidR="00C0584F" w:rsidRDefault="00C05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11BAF" w14:textId="77777777" w:rsidR="00C0584F" w:rsidRDefault="00C0584F">
      <w:r>
        <w:separator/>
      </w:r>
    </w:p>
  </w:footnote>
  <w:footnote w:type="continuationSeparator" w:id="0">
    <w:p w14:paraId="06D76787" w14:textId="77777777" w:rsidR="00C0584F" w:rsidRDefault="00C05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13A58"/>
    <w:multiLevelType w:val="multilevel"/>
    <w:tmpl w:val="118A5950"/>
    <w:lvl w:ilvl="0">
      <w:start w:val="1"/>
      <w:numFmt w:val="decimal"/>
      <w:lvlText w:val="%1."/>
      <w:lvlJc w:val="left"/>
      <w:pPr>
        <w:ind w:left="820" w:hanging="540"/>
      </w:pPr>
      <w:rPr>
        <w:rFonts w:ascii="Arial" w:eastAsia="Arial" w:hAnsi="Arial" w:cs="Arial"/>
        <w:sz w:val="24"/>
        <w:szCs w:val="24"/>
      </w:rPr>
    </w:lvl>
    <w:lvl w:ilvl="1">
      <w:start w:val="1"/>
      <w:numFmt w:val="lowerLetter"/>
      <w:lvlText w:val="%2."/>
      <w:lvlJc w:val="left"/>
      <w:pPr>
        <w:ind w:left="1180" w:hanging="449"/>
      </w:pPr>
      <w:rPr>
        <w:rFonts w:ascii="Arial" w:eastAsia="Arial" w:hAnsi="Arial" w:cs="Arial"/>
        <w:sz w:val="24"/>
        <w:szCs w:val="24"/>
      </w:rPr>
    </w:lvl>
    <w:lvl w:ilvl="2">
      <w:numFmt w:val="bullet"/>
      <w:lvlText w:val="•"/>
      <w:lvlJc w:val="left"/>
      <w:pPr>
        <w:ind w:left="2180" w:hanging="449"/>
      </w:pPr>
    </w:lvl>
    <w:lvl w:ilvl="3">
      <w:numFmt w:val="bullet"/>
      <w:lvlText w:val="•"/>
      <w:lvlJc w:val="left"/>
      <w:pPr>
        <w:ind w:left="3180" w:hanging="449"/>
      </w:pPr>
    </w:lvl>
    <w:lvl w:ilvl="4">
      <w:numFmt w:val="bullet"/>
      <w:lvlText w:val="•"/>
      <w:lvlJc w:val="left"/>
      <w:pPr>
        <w:ind w:left="4180" w:hanging="449"/>
      </w:pPr>
    </w:lvl>
    <w:lvl w:ilvl="5">
      <w:numFmt w:val="bullet"/>
      <w:lvlText w:val="•"/>
      <w:lvlJc w:val="left"/>
      <w:pPr>
        <w:ind w:left="5180" w:hanging="449"/>
      </w:pPr>
    </w:lvl>
    <w:lvl w:ilvl="6">
      <w:numFmt w:val="bullet"/>
      <w:lvlText w:val="•"/>
      <w:lvlJc w:val="left"/>
      <w:pPr>
        <w:ind w:left="6180" w:hanging="449"/>
      </w:pPr>
    </w:lvl>
    <w:lvl w:ilvl="7">
      <w:numFmt w:val="bullet"/>
      <w:lvlText w:val="•"/>
      <w:lvlJc w:val="left"/>
      <w:pPr>
        <w:ind w:left="7180" w:hanging="449"/>
      </w:pPr>
    </w:lvl>
    <w:lvl w:ilvl="8">
      <w:numFmt w:val="bullet"/>
      <w:lvlText w:val="•"/>
      <w:lvlJc w:val="left"/>
      <w:pPr>
        <w:ind w:left="8180" w:hanging="449"/>
      </w:pPr>
    </w:lvl>
  </w:abstractNum>
  <w:num w:numId="1" w16cid:durableId="412165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DDC"/>
    <w:rsid w:val="003238AB"/>
    <w:rsid w:val="004E5973"/>
    <w:rsid w:val="005E546B"/>
    <w:rsid w:val="005F59CD"/>
    <w:rsid w:val="006C56ED"/>
    <w:rsid w:val="006D0869"/>
    <w:rsid w:val="007A3CBA"/>
    <w:rsid w:val="0086561D"/>
    <w:rsid w:val="008F6127"/>
    <w:rsid w:val="00967CBC"/>
    <w:rsid w:val="00975A92"/>
    <w:rsid w:val="00980BC3"/>
    <w:rsid w:val="009842F9"/>
    <w:rsid w:val="00A334DF"/>
    <w:rsid w:val="00AE2DDC"/>
    <w:rsid w:val="00AE3D50"/>
    <w:rsid w:val="00B01043"/>
    <w:rsid w:val="00B66CFE"/>
    <w:rsid w:val="00C0584F"/>
    <w:rsid w:val="00C62315"/>
    <w:rsid w:val="00D16077"/>
    <w:rsid w:val="00D23B61"/>
    <w:rsid w:val="00D748D6"/>
    <w:rsid w:val="00EC292E"/>
    <w:rsid w:val="00FC0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5A088"/>
  <w15:docId w15:val="{B1EEFB0D-A18E-4CC2-8BF2-21FCDC01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540"/>
      <w:jc w:val="both"/>
    </w:pPr>
  </w:style>
  <w:style w:type="paragraph" w:customStyle="1" w:styleId="TableParagraph">
    <w:name w:val="Table Paragraph"/>
    <w:basedOn w:val="Normal"/>
    <w:uiPriority w:val="1"/>
    <w:qFormat/>
  </w:style>
  <w:style w:type="paragraph" w:styleId="Revision">
    <w:name w:val="Revision"/>
    <w:hidden/>
    <w:uiPriority w:val="99"/>
    <w:semiHidden/>
    <w:rsid w:val="00727A17"/>
    <w:pPr>
      <w:widowControl/>
    </w:pPr>
  </w:style>
  <w:style w:type="paragraph" w:styleId="Header">
    <w:name w:val="header"/>
    <w:basedOn w:val="Normal"/>
    <w:link w:val="HeaderChar"/>
    <w:uiPriority w:val="99"/>
    <w:unhideWhenUsed/>
    <w:rsid w:val="00010470"/>
    <w:pPr>
      <w:tabs>
        <w:tab w:val="center" w:pos="4680"/>
        <w:tab w:val="right" w:pos="9360"/>
      </w:tabs>
    </w:pPr>
  </w:style>
  <w:style w:type="character" w:customStyle="1" w:styleId="HeaderChar">
    <w:name w:val="Header Char"/>
    <w:basedOn w:val="DefaultParagraphFont"/>
    <w:link w:val="Header"/>
    <w:uiPriority w:val="99"/>
    <w:rsid w:val="00010470"/>
    <w:rPr>
      <w:rFonts w:ascii="Arial" w:eastAsia="Arial" w:hAnsi="Arial" w:cs="Arial"/>
    </w:rPr>
  </w:style>
  <w:style w:type="paragraph" w:styleId="Footer">
    <w:name w:val="footer"/>
    <w:basedOn w:val="Normal"/>
    <w:link w:val="FooterChar"/>
    <w:uiPriority w:val="99"/>
    <w:unhideWhenUsed/>
    <w:rsid w:val="00010470"/>
    <w:pPr>
      <w:tabs>
        <w:tab w:val="center" w:pos="4680"/>
        <w:tab w:val="right" w:pos="9360"/>
      </w:tabs>
    </w:pPr>
  </w:style>
  <w:style w:type="character" w:customStyle="1" w:styleId="FooterChar">
    <w:name w:val="Footer Char"/>
    <w:basedOn w:val="DefaultParagraphFont"/>
    <w:link w:val="Footer"/>
    <w:uiPriority w:val="99"/>
    <w:rsid w:val="00010470"/>
    <w:rPr>
      <w:rFonts w:ascii="Arial" w:eastAsia="Arial" w:hAnsi="Arial" w:cs="Arial"/>
    </w:rPr>
  </w:style>
  <w:style w:type="character" w:styleId="CommentReference">
    <w:name w:val="annotation reference"/>
    <w:basedOn w:val="DefaultParagraphFont"/>
    <w:uiPriority w:val="99"/>
    <w:semiHidden/>
    <w:unhideWhenUsed/>
    <w:rsid w:val="00105995"/>
    <w:rPr>
      <w:sz w:val="16"/>
      <w:szCs w:val="16"/>
    </w:rPr>
  </w:style>
  <w:style w:type="paragraph" w:styleId="CommentText">
    <w:name w:val="annotation text"/>
    <w:basedOn w:val="Normal"/>
    <w:link w:val="CommentTextChar"/>
    <w:uiPriority w:val="99"/>
    <w:unhideWhenUsed/>
    <w:rsid w:val="00105995"/>
    <w:rPr>
      <w:sz w:val="20"/>
      <w:szCs w:val="20"/>
    </w:rPr>
  </w:style>
  <w:style w:type="character" w:customStyle="1" w:styleId="CommentTextChar">
    <w:name w:val="Comment Text Char"/>
    <w:basedOn w:val="DefaultParagraphFont"/>
    <w:link w:val="CommentText"/>
    <w:uiPriority w:val="99"/>
    <w:rsid w:val="0010599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05995"/>
    <w:rPr>
      <w:b/>
      <w:bCs/>
    </w:rPr>
  </w:style>
  <w:style w:type="character" w:customStyle="1" w:styleId="CommentSubjectChar">
    <w:name w:val="Comment Subject Char"/>
    <w:basedOn w:val="CommentTextChar"/>
    <w:link w:val="CommentSubject"/>
    <w:uiPriority w:val="99"/>
    <w:semiHidden/>
    <w:rsid w:val="00105995"/>
    <w:rPr>
      <w:rFonts w:ascii="Arial" w:eastAsia="Arial" w:hAnsi="Arial" w:cs="Arial"/>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464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pMoJ6+sE8byrkHf3iUMxuqWqnw==">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Frederick Berry</dc:creator>
  <cp:lastModifiedBy>Jamie Falise</cp:lastModifiedBy>
  <cp:revision>22</cp:revision>
  <dcterms:created xsi:type="dcterms:W3CDTF">2024-06-10T19:03:00Z</dcterms:created>
  <dcterms:modified xsi:type="dcterms:W3CDTF">2024-12-16T16:47:00Z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2024-06-05T00:00:00Z</vt:lpwstr>
  </property>
  <property fmtid="{D5CDD505-2E9C-101B-9397-08002B2CF9AE}" pid="3" name="Creator">
    <vt:lpwstr>Microsoft® Word for Microsoft 365</vt:lpwstr>
  </property>
  <property fmtid="{D5CDD505-2E9C-101B-9397-08002B2CF9AE}" pid="4" name="LastSaved">
    <vt:lpwstr>2024-06-05T00:00:00Z</vt:lpwstr>
  </property>
</Properties>
</file>