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BE5963" w:rsidR="00B2140A" w:rsidRDefault="00483A74">
      <w:pPr>
        <w:pStyle w:val="Title"/>
        <w:jc w:val="both"/>
        <w:rPr>
          <w:b w:val="0"/>
        </w:rPr>
      </w:pPr>
      <w:r>
        <w:rPr>
          <w:b w:val="0"/>
        </w:rPr>
        <w:t>ITEM 158.01</w:t>
      </w:r>
      <w:r>
        <w:rPr>
          <w:b w:val="0"/>
          <w:u w:val="none"/>
        </w:rPr>
        <w:tab/>
      </w:r>
      <w:r w:rsidR="00A5034B">
        <w:rPr>
          <w:b w:val="0"/>
          <w:u w:val="none"/>
        </w:rPr>
        <w:tab/>
      </w:r>
      <w:r>
        <w:rPr>
          <w:b w:val="0"/>
        </w:rPr>
        <w:t>WASHED RIVER STONE</w:t>
      </w:r>
      <w:r>
        <w:rPr>
          <w:b w:val="0"/>
          <w:u w:val="none"/>
        </w:rPr>
        <w:tab/>
      </w:r>
      <w:r>
        <w:rPr>
          <w:b w:val="0"/>
        </w:rPr>
        <w:t>CUBIC YARD</w:t>
      </w:r>
    </w:p>
    <w:p w14:paraId="00000002" w14:textId="77777777" w:rsidR="00B2140A" w:rsidRDefault="00B2140A">
      <w:pPr>
        <w:jc w:val="both"/>
      </w:pPr>
    </w:p>
    <w:p w14:paraId="00000003" w14:textId="77777777" w:rsidR="00B2140A" w:rsidRDefault="00483A74">
      <w:pPr>
        <w:jc w:val="both"/>
        <w:rPr>
          <w:u w:val="single"/>
        </w:rPr>
      </w:pPr>
      <w:r>
        <w:rPr>
          <w:u w:val="single"/>
        </w:rPr>
        <w:t>GENERAL</w:t>
      </w:r>
    </w:p>
    <w:p w14:paraId="00000004" w14:textId="77777777" w:rsidR="00B2140A" w:rsidRDefault="00B2140A">
      <w:pPr>
        <w:jc w:val="both"/>
      </w:pPr>
    </w:p>
    <w:p w14:paraId="00000005" w14:textId="74325DB1" w:rsidR="00B2140A" w:rsidRDefault="00483A74">
      <w:pPr>
        <w:jc w:val="both"/>
      </w:pPr>
      <w:r>
        <w:t xml:space="preserve">The work consists of the furnishing, placing and compacting Washed River Stone at the locations and dimensions specified on the </w:t>
      </w:r>
      <w:r w:rsidR="00CA2A30">
        <w:t>Plans</w:t>
      </w:r>
      <w:r>
        <w:t xml:space="preserve"> and as required by the Engineer.</w:t>
      </w:r>
    </w:p>
    <w:p w14:paraId="00000006" w14:textId="77777777" w:rsidR="00B2140A" w:rsidRDefault="00B2140A">
      <w:pPr>
        <w:jc w:val="both"/>
      </w:pPr>
    </w:p>
    <w:p w14:paraId="00000007" w14:textId="77777777" w:rsidR="00B2140A" w:rsidRDefault="00483A74">
      <w:pPr>
        <w:jc w:val="both"/>
        <w:rPr>
          <w:u w:val="single"/>
        </w:rPr>
      </w:pPr>
      <w:r>
        <w:rPr>
          <w:u w:val="single"/>
        </w:rPr>
        <w:t>Submittals</w:t>
      </w:r>
    </w:p>
    <w:p w14:paraId="00000008" w14:textId="77777777" w:rsidR="00B2140A" w:rsidRDefault="00B2140A">
      <w:pPr>
        <w:jc w:val="both"/>
      </w:pPr>
    </w:p>
    <w:p w14:paraId="00000009" w14:textId="4399893A" w:rsidR="00B2140A" w:rsidRDefault="00483A74">
      <w:pPr>
        <w:jc w:val="both"/>
      </w:pPr>
      <w:r>
        <w:t xml:space="preserve">The </w:t>
      </w:r>
      <w:r w:rsidR="00867CEE">
        <w:t>Contract</w:t>
      </w:r>
      <w:r>
        <w:t>or shall submit a minimum five (5) gallon sample of stones to the Engineer for review and approval prior to ordering the material.</w:t>
      </w:r>
    </w:p>
    <w:p w14:paraId="0000000A" w14:textId="77777777" w:rsidR="00B2140A" w:rsidRDefault="00B2140A">
      <w:pPr>
        <w:jc w:val="both"/>
      </w:pPr>
    </w:p>
    <w:p w14:paraId="0000000B" w14:textId="77777777" w:rsidR="00B2140A" w:rsidRDefault="00483A74">
      <w:pPr>
        <w:jc w:val="both"/>
        <w:rPr>
          <w:u w:val="single"/>
        </w:rPr>
      </w:pPr>
      <w:r>
        <w:rPr>
          <w:u w:val="single"/>
        </w:rPr>
        <w:t>MATERIALS</w:t>
      </w:r>
    </w:p>
    <w:p w14:paraId="0000000C" w14:textId="77777777" w:rsidR="00B2140A" w:rsidRDefault="00B2140A">
      <w:pPr>
        <w:jc w:val="both"/>
      </w:pPr>
    </w:p>
    <w:p w14:paraId="0000000D" w14:textId="77777777" w:rsidR="00B2140A" w:rsidRDefault="00C468BF">
      <w:pPr>
        <w:jc w:val="both"/>
      </w:pPr>
      <w:sdt>
        <w:sdtPr>
          <w:tag w:val="goog_rdk_0"/>
          <w:id w:val="661971233"/>
        </w:sdtPr>
        <w:sdtEndPr/>
        <w:sdtContent/>
      </w:sdt>
      <w:sdt>
        <w:sdtPr>
          <w:tag w:val="goog_rdk_1"/>
          <w:id w:val="524302191"/>
        </w:sdtPr>
        <w:sdtEndPr/>
        <w:sdtContent/>
      </w:sdt>
      <w:sdt>
        <w:sdtPr>
          <w:tag w:val="goog_rdk_2"/>
          <w:id w:val="-506981891"/>
        </w:sdtPr>
        <w:sdtEndPr/>
        <w:sdtContent/>
      </w:sdt>
      <w:r w:rsidR="00483A74">
        <w:t xml:space="preserve">Washed river stone shall have rounded, tumbled edges and shall be of various shades of gray, brown, or tan.  Stone shall be between </w:t>
      </w:r>
      <w:sdt>
        <w:sdtPr>
          <w:tag w:val="goog_rdk_3"/>
          <w:id w:val="2000529317"/>
        </w:sdtPr>
        <w:sdtEndPr/>
        <w:sdtContent/>
      </w:sdt>
      <w:sdt>
        <w:sdtPr>
          <w:tag w:val="goog_rdk_4"/>
          <w:id w:val="-711642987"/>
        </w:sdtPr>
        <w:sdtEndPr/>
        <w:sdtContent/>
      </w:sdt>
      <w:r w:rsidR="00483A74">
        <w:t>2 and 8 inches in diameter. All fines shall be screened from the aggregate. The material shall be free of organic and inorganic debris and trash.</w:t>
      </w:r>
    </w:p>
    <w:p w14:paraId="0000000E" w14:textId="77777777" w:rsidR="00B2140A" w:rsidRDefault="00B2140A">
      <w:pPr>
        <w:jc w:val="both"/>
      </w:pPr>
    </w:p>
    <w:p w14:paraId="0000000F" w14:textId="77777777" w:rsidR="00B2140A" w:rsidRDefault="00483A74">
      <w:pPr>
        <w:jc w:val="both"/>
        <w:rPr>
          <w:u w:val="single"/>
        </w:rPr>
      </w:pPr>
      <w:r>
        <w:rPr>
          <w:u w:val="single"/>
        </w:rPr>
        <w:t>CONSTRUCTION METHODS</w:t>
      </w:r>
    </w:p>
    <w:p w14:paraId="00000010" w14:textId="77777777" w:rsidR="00B2140A" w:rsidRDefault="00B2140A">
      <w:pPr>
        <w:jc w:val="both"/>
      </w:pPr>
    </w:p>
    <w:p w14:paraId="00000011" w14:textId="77777777" w:rsidR="00B2140A" w:rsidRDefault="00483A74">
      <w:pPr>
        <w:jc w:val="both"/>
      </w:pPr>
      <w:r>
        <w:t>Install the non-woven geotextile fabric per detail (if applicable), either on the subbase and sides or encasing washed river stone.</w:t>
      </w:r>
    </w:p>
    <w:p w14:paraId="00000012" w14:textId="77777777" w:rsidR="00B2140A" w:rsidRDefault="00B2140A">
      <w:pPr>
        <w:jc w:val="both"/>
      </w:pPr>
    </w:p>
    <w:p w14:paraId="00000013" w14:textId="324A7242" w:rsidR="00B2140A" w:rsidRDefault="00483A74">
      <w:pPr>
        <w:jc w:val="both"/>
      </w:pPr>
      <w:r>
        <w:t xml:space="preserve">The stone shall be placed to the line and grade as shown on the </w:t>
      </w:r>
      <w:r w:rsidR="00CA2A30">
        <w:t>Plans</w:t>
      </w:r>
      <w:r>
        <w:t xml:space="preserve"> or as directed by the Engineer.</w:t>
      </w:r>
    </w:p>
    <w:p w14:paraId="00000014" w14:textId="77777777" w:rsidR="00B2140A" w:rsidRDefault="00B2140A">
      <w:pPr>
        <w:jc w:val="both"/>
      </w:pPr>
    </w:p>
    <w:p w14:paraId="00000015" w14:textId="77777777" w:rsidR="00B2140A" w:rsidRDefault="00483A74">
      <w:pPr>
        <w:pBdr>
          <w:top w:val="nil"/>
          <w:left w:val="nil"/>
          <w:bottom w:val="nil"/>
          <w:right w:val="nil"/>
          <w:between w:val="nil"/>
        </w:pBdr>
        <w:tabs>
          <w:tab w:val="left" w:pos="274"/>
          <w:tab w:val="left" w:pos="806"/>
          <w:tab w:val="left" w:pos="1320"/>
          <w:tab w:val="left" w:pos="1800"/>
          <w:tab w:val="left" w:pos="2280"/>
          <w:tab w:val="left" w:pos="2750"/>
          <w:tab w:val="right" w:pos="9274"/>
        </w:tabs>
        <w:jc w:val="both"/>
        <w:rPr>
          <w:rFonts w:eastAsia="Arial" w:cs="Arial"/>
          <w:color w:val="000000"/>
          <w:szCs w:val="24"/>
          <w:u w:val="single"/>
        </w:rPr>
      </w:pPr>
      <w:bookmarkStart w:id="0" w:name="_heading=h.gjdgxs" w:colFirst="0" w:colLast="0"/>
      <w:bookmarkEnd w:id="0"/>
      <w:r>
        <w:rPr>
          <w:rFonts w:eastAsia="Arial" w:cs="Arial"/>
          <w:color w:val="000000"/>
          <w:szCs w:val="24"/>
          <w:u w:val="single"/>
        </w:rPr>
        <w:t>METHOD OF MEASUREMENT</w:t>
      </w:r>
    </w:p>
    <w:p w14:paraId="00000016" w14:textId="77777777" w:rsidR="00B2140A" w:rsidRDefault="00B2140A">
      <w:pPr>
        <w:pBdr>
          <w:top w:val="nil"/>
          <w:left w:val="nil"/>
          <w:bottom w:val="nil"/>
          <w:right w:val="nil"/>
          <w:between w:val="nil"/>
        </w:pBdr>
        <w:tabs>
          <w:tab w:val="left" w:pos="274"/>
          <w:tab w:val="left" w:pos="806"/>
          <w:tab w:val="left" w:pos="1320"/>
          <w:tab w:val="left" w:pos="1800"/>
          <w:tab w:val="left" w:pos="2280"/>
          <w:tab w:val="left" w:pos="2750"/>
          <w:tab w:val="right" w:pos="9274"/>
        </w:tabs>
        <w:jc w:val="both"/>
        <w:rPr>
          <w:rFonts w:eastAsia="Arial" w:cs="Arial"/>
          <w:color w:val="000000"/>
          <w:szCs w:val="24"/>
          <w:u w:val="single"/>
        </w:rPr>
      </w:pPr>
    </w:p>
    <w:p w14:paraId="00000017" w14:textId="6028F1BA" w:rsidR="00B2140A" w:rsidRDefault="00483A74">
      <w:pPr>
        <w:jc w:val="both"/>
      </w:pPr>
      <w:r>
        <w:t xml:space="preserve">Washed River Stone will be measured </w:t>
      </w:r>
      <w:r w:rsidR="00C468BF">
        <w:t xml:space="preserve">for payment </w:t>
      </w:r>
      <w:r>
        <w:t>by the cubic yard, complete in place.</w:t>
      </w:r>
    </w:p>
    <w:p w14:paraId="00000018" w14:textId="77777777" w:rsidR="00B2140A" w:rsidRDefault="00B2140A">
      <w:pPr>
        <w:jc w:val="both"/>
      </w:pPr>
    </w:p>
    <w:p w14:paraId="00000019" w14:textId="77777777" w:rsidR="00B2140A" w:rsidRDefault="00483A74">
      <w:pPr>
        <w:widowControl w:val="0"/>
        <w:jc w:val="both"/>
        <w:rPr>
          <w:u w:val="single"/>
        </w:rPr>
      </w:pPr>
      <w:r>
        <w:rPr>
          <w:u w:val="single"/>
        </w:rPr>
        <w:t>BASIS OF PAYMENT</w:t>
      </w:r>
    </w:p>
    <w:p w14:paraId="0000001A" w14:textId="77777777" w:rsidR="00B2140A" w:rsidRDefault="00B2140A">
      <w:pPr>
        <w:widowControl w:val="0"/>
        <w:jc w:val="both"/>
      </w:pPr>
    </w:p>
    <w:p w14:paraId="0000001B" w14:textId="2D1408C5" w:rsidR="00B2140A" w:rsidRDefault="00483A74">
      <w:pPr>
        <w:jc w:val="both"/>
      </w:pPr>
      <w:r>
        <w:t xml:space="preserve">Washed River Stone will be paid for at the </w:t>
      </w:r>
      <w:r w:rsidR="00BE7196">
        <w:t>C</w:t>
      </w:r>
      <w:r w:rsidR="00867CEE">
        <w:t>ontract</w:t>
      </w:r>
      <w:r>
        <w:t xml:space="preserve"> unit price per cubic yard, which price shall include all labor, materials, equipment, and incidental costs required to complete the work.</w:t>
      </w:r>
    </w:p>
    <w:p w14:paraId="0000001C" w14:textId="77777777" w:rsidR="00B2140A" w:rsidRDefault="00B2140A">
      <w:pPr>
        <w:jc w:val="both"/>
      </w:pPr>
    </w:p>
    <w:p w14:paraId="0000001D" w14:textId="53F366FF" w:rsidR="00B2140A" w:rsidRDefault="00483A74">
      <w:pPr>
        <w:widowControl w:val="0"/>
        <w:jc w:val="both"/>
      </w:pPr>
      <w:r>
        <w:t xml:space="preserve">Excavation </w:t>
      </w:r>
      <w:r w:rsidR="00C468BF">
        <w:t>will</w:t>
      </w:r>
      <w:r>
        <w:t xml:space="preserve"> be paid for </w:t>
      </w:r>
      <w:r w:rsidR="00E50950">
        <w:t xml:space="preserve">separately </w:t>
      </w:r>
      <w:r>
        <w:t>under Item 120.1, Excavation.</w:t>
      </w:r>
    </w:p>
    <w:p w14:paraId="0000001E" w14:textId="77777777" w:rsidR="00B2140A" w:rsidRDefault="00B2140A">
      <w:pPr>
        <w:widowControl w:val="0"/>
        <w:jc w:val="both"/>
      </w:pPr>
    </w:p>
    <w:p w14:paraId="0000001F" w14:textId="59AD36C5" w:rsidR="00B2140A" w:rsidRDefault="00483A74">
      <w:pPr>
        <w:widowControl w:val="0"/>
        <w:jc w:val="both"/>
      </w:pPr>
      <w:r>
        <w:t xml:space="preserve">Non-Woven Geotextile Fabric </w:t>
      </w:r>
      <w:r w:rsidR="00E50950">
        <w:t>wi</w:t>
      </w:r>
      <w:r>
        <w:t xml:space="preserve">ll be paid for </w:t>
      </w:r>
      <w:r w:rsidR="00E50950">
        <w:t xml:space="preserve">separately </w:t>
      </w:r>
      <w:r>
        <w:t>under item 698.3, Non-Woven Geotextile Fabric.</w:t>
      </w:r>
    </w:p>
    <w:sectPr w:rsidR="00B2140A">
      <w:pgSz w:w="12240" w:h="15840"/>
      <w:pgMar w:top="1440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0A"/>
    <w:rsid w:val="00483A74"/>
    <w:rsid w:val="00867CEE"/>
    <w:rsid w:val="00A458DF"/>
    <w:rsid w:val="00A5034B"/>
    <w:rsid w:val="00B2140A"/>
    <w:rsid w:val="00BE7196"/>
    <w:rsid w:val="00C468BF"/>
    <w:rsid w:val="00C61E08"/>
    <w:rsid w:val="00CA2A30"/>
    <w:rsid w:val="00E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6E9B"/>
  <w15:docId w15:val="{02BEFE6C-9843-454F-8615-0B8C0920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0CB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3BF"/>
    <w:pPr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3B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B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3BF"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03BF"/>
    <w:pPr>
      <w:tabs>
        <w:tab w:val="left" w:pos="0"/>
        <w:tab w:val="left" w:pos="720"/>
        <w:tab w:val="left" w:pos="1440"/>
        <w:tab w:val="center" w:pos="468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303BF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303BF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303BF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303BF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303BF"/>
    <w:rPr>
      <w:rFonts w:ascii="Times New Roman" w:eastAsia="Times New Roman" w:hAnsi="Times New Roman" w:cs="Times New Roman"/>
      <w:b/>
      <w:bCs/>
      <w:kern w:val="0"/>
      <w:sz w:val="24"/>
      <w:szCs w:val="26"/>
      <w:u w:val="single"/>
    </w:rPr>
  </w:style>
  <w:style w:type="paragraph" w:styleId="ListParagraph">
    <w:name w:val="List Paragraph"/>
    <w:basedOn w:val="Normal"/>
    <w:uiPriority w:val="1"/>
    <w:qFormat/>
    <w:rsid w:val="003303BF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PR2">
    <w:name w:val="PR2"/>
    <w:basedOn w:val="Normal"/>
    <w:link w:val="PR2Char"/>
    <w:uiPriority w:val="99"/>
    <w:rsid w:val="003303BF"/>
    <w:pPr>
      <w:tabs>
        <w:tab w:val="num" w:pos="1325"/>
      </w:tabs>
      <w:suppressAutoHyphens/>
      <w:ind w:left="1325" w:hanging="490"/>
      <w:outlineLvl w:val="3"/>
    </w:pPr>
    <w:rPr>
      <w:sz w:val="22"/>
    </w:rPr>
  </w:style>
  <w:style w:type="character" w:customStyle="1" w:styleId="PR2Char">
    <w:name w:val="PR2 Char"/>
    <w:basedOn w:val="DefaultParagraphFont"/>
    <w:link w:val="PR2"/>
    <w:uiPriority w:val="99"/>
    <w:rsid w:val="003303BF"/>
    <w:rPr>
      <w:rFonts w:ascii="Arial" w:eastAsia="Times New Roman" w:hAnsi="Arial" w:cs="Times New Roman"/>
      <w:kern w:val="0"/>
      <w:szCs w:val="20"/>
    </w:rPr>
  </w:style>
  <w:style w:type="paragraph" w:customStyle="1" w:styleId="PART">
    <w:name w:val="PART"/>
    <w:basedOn w:val="Normal"/>
    <w:rsid w:val="003303BF"/>
    <w:pPr>
      <w:keepNext/>
      <w:tabs>
        <w:tab w:val="left" w:pos="274"/>
        <w:tab w:val="left" w:pos="806"/>
        <w:tab w:val="left" w:pos="1320"/>
        <w:tab w:val="left" w:pos="1800"/>
        <w:tab w:val="left" w:pos="2280"/>
        <w:tab w:val="left" w:pos="2750"/>
        <w:tab w:val="right" w:pos="9274"/>
      </w:tabs>
      <w:suppressAutoHyphens/>
      <w:overflowPunct w:val="0"/>
      <w:autoSpaceDE w:val="0"/>
      <w:autoSpaceDN w:val="0"/>
      <w:adjustRightInd w:val="0"/>
      <w:spacing w:before="240"/>
      <w:textAlignment w:val="baseline"/>
    </w:pPr>
    <w:rPr>
      <w:u w:val="single"/>
    </w:rPr>
  </w:style>
  <w:style w:type="paragraph" w:styleId="Revision">
    <w:name w:val="Revision"/>
    <w:hidden/>
    <w:uiPriority w:val="99"/>
    <w:semiHidden/>
    <w:rsid w:val="00464E44"/>
    <w:rPr>
      <w:rFonts w:ascii="Times New Roman" w:eastAsia="Times New Roman" w:hAnsi="Times New Roman" w:cs="Times New Roman"/>
      <w:noProof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766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90D"/>
  </w:style>
  <w:style w:type="character" w:customStyle="1" w:styleId="CommentTextChar">
    <w:name w:val="Comment Text Char"/>
    <w:basedOn w:val="DefaultParagraphFont"/>
    <w:link w:val="CommentText"/>
    <w:uiPriority w:val="99"/>
    <w:rsid w:val="0060090D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90D"/>
    <w:rPr>
      <w:rFonts w:ascii="Times New Roman" w:eastAsia="Times New Roman" w:hAnsi="Times New Roman" w:cs="Times New Roman"/>
      <w:b/>
      <w:bCs/>
      <w:noProof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5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70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70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yuXk1QRuKeSxCNpGDADDYiJCw==">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</go:docsCustomData>
</go:gDocsCustomXmlDataStorage>
</file>

<file path=customXml/itemProps1.xml><?xml version="1.0" encoding="utf-8"?>
<ds:datastoreItem xmlns:ds="http://schemas.openxmlformats.org/officeDocument/2006/customXml" ds:itemID="{E4B29AAC-EFA5-41F2-B495-4FF70C322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Lipiner</dc:creator>
  <cp:lastModifiedBy>Jamie Falise</cp:lastModifiedBy>
  <cp:revision>10</cp:revision>
  <dcterms:created xsi:type="dcterms:W3CDTF">2024-06-18T13:06:00Z</dcterms:created>
  <dcterms:modified xsi:type="dcterms:W3CDTF">2024-10-22T17:50:00Z</dcterms:modified>
</cp:coreProperties>
</file>